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pStyle w:val="17"/>
        <w:spacing w:before="200" w:after="200"/>
        <w:jc w:val="center"/>
        <w:rPr>
          <w:b/>
          <w:bCs/>
          <w:sz w:val="24"/>
          <w:szCs w:val="24"/>
        </w:rPr>
      </w:pPr>
      <w:bookmarkStart w:id="0" w:name="_heading=h.va9npk8pcdmu" w:colFirst="0" w:colLast="0"/>
      <w:bookmarkEnd w:id="0"/>
      <w:r>
        <w:rPr>
          <w:b/>
          <w:bCs/>
          <w:sz w:val="24"/>
          <w:szCs w:val="24"/>
          <w:rtl w:val="0"/>
        </w:rPr>
        <w:t>INFORME EN MAYORÍA</w:t>
      </w:r>
    </w:p>
    <w:p w14:paraId="00000002">
      <w:pPr>
        <w:pStyle w:val="16"/>
        <w:spacing w:before="200" w:after="200"/>
        <w:jc w:val="center"/>
      </w:pPr>
      <w:bookmarkStart w:id="1" w:name="_heading=h.bszfc366mjik" w:colFirst="0" w:colLast="0"/>
      <w:bookmarkEnd w:id="1"/>
      <w:r>
        <w:rPr>
          <w:b/>
          <w:bCs/>
          <w:color w:val="000000"/>
          <w:sz w:val="24"/>
          <w:szCs w:val="24"/>
          <w:rtl w:val="0"/>
        </w:rPr>
        <w:t>COMISIÓN ESPECIAL PARA INVESTIGAR Y ANALIZAR EL PROCESO DE ADQUISICIÓN DE OPV</w:t>
      </w:r>
    </w:p>
    <w:p w14:paraId="00000003">
      <w:pPr>
        <w:pStyle w:val="2"/>
        <w:spacing w:before="200" w:after="200"/>
        <w:rPr>
          <w:u w:val="single"/>
        </w:rPr>
      </w:pPr>
      <w:bookmarkStart w:id="2" w:name="_heading=h.o6ixxmhddb9c" w:colFirst="0" w:colLast="0"/>
      <w:bookmarkEnd w:id="2"/>
      <w:r>
        <w:rPr>
          <w:u w:val="single"/>
          <w:rtl w:val="0"/>
        </w:rPr>
        <w:t>I. INTRODUCCIÓN</w:t>
      </w:r>
    </w:p>
    <w:p w14:paraId="00000004">
      <w:pPr>
        <w:numPr>
          <w:ilvl w:val="0"/>
          <w:numId w:val="1"/>
        </w:numPr>
        <w:ind w:left="0" w:hanging="566"/>
      </w:pPr>
      <w:r>
        <w:rPr>
          <w:rtl w:val="0"/>
        </w:rPr>
        <w:t>El 13 de febrero de 2026, el Poder Ejecutivo resolvió rescindir el contrato celebrado con la empresa Francisco Cardama S.A. (Cardama) para la construcción de dos patrulleras oceánicas destinadas a la Armada Nacional, tras constatarse incumplimientos graves en el contrato por parte de la empresa (Resolución N° 336/2026). Esta decisión encomendó al Ministerio de Defensa Nacional (en adelante MDN), además, al inicio de todas las acciones para reclamar los daños y perjuicios ocasionados al Estado Uruguayo.</w:t>
      </w:r>
    </w:p>
    <w:p w14:paraId="00000005">
      <w:pPr>
        <w:numPr>
          <w:ilvl w:val="0"/>
          <w:numId w:val="1"/>
        </w:numPr>
        <w:spacing w:after="0"/>
        <w:ind w:left="0" w:hanging="566"/>
      </w:pPr>
      <w:r>
        <w:rPr>
          <w:rtl w:val="0"/>
        </w:rPr>
        <w:t>Esta decisión fue el resultado de una serie de hechos que comenzaron a conocerse a partir de las irregularidades detectadas en las garantías exigidas contractualmente para respaldar el cumplimiento de las obligaciones asumidas por Cardama. En octubre de 2025, luego de constatar que la documentación presentada para acreditar la garantía de fiel cumplimiento era falsa, el Poder Ejecutivo presentó una denuncia penal ante la Fiscalía General de la Nación por la existencia de elementos que podrían configurar una estafa o fraude contra el Estado uruguayo. La denuncia fue posteriormente ampliada a medida que surgieron nuevos elementos.</w:t>
      </w:r>
    </w:p>
    <w:p w14:paraId="00000006">
      <w:pPr>
        <w:numPr>
          <w:ilvl w:val="0"/>
          <w:numId w:val="1"/>
        </w:numPr>
        <w:spacing w:after="0"/>
        <w:ind w:left="0" w:hanging="566"/>
      </w:pPr>
      <w:r>
        <w:rPr>
          <w:rtl w:val="0"/>
        </w:rPr>
        <w:t>Posteriormente, se constató una nueva irregularidad vinculada a la denominada garantía de reembolso. Según informó el Poder Ejecutivo al anunciar la rescisión, el documento presentado por Cardama no constituía la póliza exigida contractualmente, sino un documento de términos y condiciones que no cumplía con lo establecido en el contrato. Este nuevo elemento determinó una nueva ampliación de la denuncia penal presentada ante Fiscalía.</w:t>
      </w:r>
    </w:p>
    <w:p w14:paraId="00000007">
      <w:pPr>
        <w:numPr>
          <w:ilvl w:val="0"/>
          <w:numId w:val="1"/>
        </w:numPr>
        <w:spacing w:after="0"/>
        <w:ind w:left="0" w:hanging="566"/>
      </w:pPr>
      <w:r>
        <w:rPr>
          <w:rtl w:val="0"/>
        </w:rPr>
        <w:t>La entidad de los hechos constatados, la denuncia penal y la posterior rescisión del contrato dieron lugar a un amplio debate parlamentario sobre las circunstancias en que se había desarrollado la contratación. En ese contexto, por Resolución de la Asamblea General de 23 de febrero de 2026 se creó una Comisión Especial con el cometido de investigar y analizar el proceso de adquisición de patrulleros oceánicos iniciado en 2010 y sus distintas etapas hasta 2026.</w:t>
      </w:r>
    </w:p>
    <w:p w14:paraId="00000008">
      <w:pPr>
        <w:numPr>
          <w:ilvl w:val="0"/>
          <w:numId w:val="1"/>
        </w:numPr>
        <w:spacing w:after="0"/>
        <w:ind w:left="0" w:hanging="566"/>
      </w:pPr>
      <w:r>
        <w:rPr>
          <w:rtl w:val="0"/>
        </w:rPr>
        <w:t>En el transcurso de su labor, la Comisión recabó una voluminosa documentación solicitada a distintas reparticiones del Estado y recibió la declaración de veintidós invitados, entre ellos autoridades y ex autoridades políticas del MDN, asesores y técnicos que intervinieron en las distintas etapas del proceso. Asimismo, fue citado a comparecer ante la Comisión el Sr. Mario Cardama, propietario de la empresa contratista, quien decidió no concurrir. Este conjunto de antecedentes permitió reconstruir las circunstancias en que se adoptaron las principales decisiones vinculadas a la adquisición, contratación y ejecución del contrato celebrado con Cardama.</w:t>
      </w:r>
    </w:p>
    <w:p w14:paraId="00000009">
      <w:pPr>
        <w:numPr>
          <w:ilvl w:val="0"/>
          <w:numId w:val="1"/>
        </w:numPr>
        <w:ind w:left="0" w:hanging="566"/>
      </w:pPr>
      <w:r>
        <w:rPr>
          <w:rtl w:val="0"/>
        </w:rPr>
        <w:t>La investigación desarrollada permitió determinar que los hechos que motivaron la rescisión del contrato no pueden ser analizados de forma aislada, sino en el contexto de la contratación y su posterior ejecución. Las irregularidades constatadas respecto de las garantías se inscriben en una sucesión de incumplimientos y deficiencias en los mecanismos de control destinados a resguardar los intereses del Estado. El análisis de las actuaciones reunidas permite, por tanto, reconstruir integralmente lo sucedido, evaluar las decisiones adoptadas en sus distintas etapas y determinar las responsabilidades políticas e institucionales que correspondan.</w:t>
      </w:r>
    </w:p>
    <w:p w14:paraId="0000000A">
      <w:pPr>
        <w:pStyle w:val="2"/>
        <w:spacing w:before="200" w:after="200"/>
        <w:rPr>
          <w:u w:val="single"/>
        </w:rPr>
      </w:pPr>
      <w:bookmarkStart w:id="3" w:name="_heading=h.555jg2fk31p5" w:colFirst="0" w:colLast="0"/>
      <w:bookmarkEnd w:id="3"/>
      <w:r>
        <w:rPr>
          <w:u w:val="single"/>
          <w:rtl w:val="0"/>
        </w:rPr>
        <w:t>II. ANTECEDENTES Y LABOR DE LA COMISIÓN</w:t>
      </w:r>
    </w:p>
    <w:p w14:paraId="0000000B">
      <w:pPr>
        <w:numPr>
          <w:ilvl w:val="0"/>
          <w:numId w:val="1"/>
        </w:numPr>
        <w:ind w:left="0" w:hanging="566"/>
      </w:pPr>
      <w:r>
        <w:rPr>
          <w:rtl w:val="0"/>
        </w:rPr>
        <w:t>Por Resolución de la Asamblea General de 23 de febrero de 2026 se creó, por unanimidad de los legisladores presentes (127 votos en 127), una Comisión Especial con el cometido de “investigar y analizar el proceso de adquisición de patrulleros oceánicos iniciado en 2010 hasta el 2026”. La resolución estableció una integración con representación de todos los partidos políticos con presencia parlamentaria y un plazo de seis meses para que la Comisión se expidiera.</w:t>
      </w:r>
    </w:p>
    <w:p w14:paraId="0000000C">
      <w:pPr>
        <w:numPr>
          <w:ilvl w:val="0"/>
          <w:numId w:val="1"/>
        </w:numPr>
        <w:spacing w:after="0"/>
        <w:ind w:left="0" w:hanging="566"/>
      </w:pPr>
      <w:r>
        <w:rPr>
          <w:rtl w:val="0"/>
        </w:rPr>
        <w:t>La Comisión quedó integrada por 17 legisladores de ambas Cámaras. Por la Cámara de Senadores participaron Eduardo Brenta, Liliam Kechichian, Sebastián Sabini y Nicolás Viera, por el Frente Amplio, y José Luis Falero, por el Partido Nacional. Por la Cámara de Representantes la integraron Joaquín Garlo, Tatiana Antúnez, Carlos Rodríguez, María Inés Obaldía y Fernando Amado, por el Frente Amplio; Pablo Abdala y Gabriel Gianoli, por el Partido Nacional; Felipe Schipani y Maximiliano Campo, por el Partido Colorado; Álvaro Perrone, por Cabildo Abierto; Gerardo Sotelo, por el Partido Independiente; y Gustavo Salle, por Identidad Soberana.</w:t>
      </w:r>
    </w:p>
    <w:p w14:paraId="0000000D">
      <w:pPr>
        <w:numPr>
          <w:ilvl w:val="0"/>
          <w:numId w:val="1"/>
        </w:numPr>
        <w:spacing w:after="0"/>
        <w:ind w:left="0" w:hanging="566"/>
      </w:pPr>
      <w:r>
        <w:rPr>
          <w:rtl w:val="0"/>
        </w:rPr>
        <w:t>El alcance temporal definido por la Asamblea General permitió examinar de forma integral los antecedentes de los distintos procesos de adquisición de patrulleros oceánicos, las decisiones adoptadas por las autoridades intervinientes, la contratación celebrada con Francisco Cardama S.A., su ejecución y los hechos que culminaron con la rescisión del contrato dispuesta por el Poder Ejecutivo el 13 de febrero de 2026.</w:t>
      </w:r>
    </w:p>
    <w:p w14:paraId="0000000E">
      <w:pPr>
        <w:numPr>
          <w:ilvl w:val="0"/>
          <w:numId w:val="1"/>
        </w:numPr>
        <w:spacing w:after="0"/>
        <w:ind w:left="0" w:hanging="566"/>
      </w:pPr>
      <w:r>
        <w:rPr>
          <w:rtl w:val="0"/>
        </w:rPr>
        <w:t>La Comisión sesionó regularmente entre el 25 de febrero y el 21 de agosto de 2026, en un total de dieciocho sesiones cuyas versiones taquigráficas (en adelante VT) integran los antecedentes del presente informe. Asimismo, fueron convocados a comparecer el Sr. Mario Cardama, propietario de la empresa contratista, y el Sr. Gerardo Moreira, quien intervino como intermediario en las instancias vinculadas con la contratación. Ninguno de los dos concurrió ante la Comisión.</w:t>
      </w:r>
    </w:p>
    <w:p w14:paraId="0000000F">
      <w:pPr>
        <w:numPr>
          <w:ilvl w:val="0"/>
          <w:numId w:val="1"/>
        </w:numPr>
        <w:spacing w:after="0"/>
        <w:ind w:left="0" w:hanging="566"/>
      </w:pPr>
      <w:r>
        <w:rPr>
          <w:rtl w:val="0"/>
        </w:rPr>
        <w:t>El trabajo se organizó a partir de bloques temáticos ordenados cronológicamente, criterio propuesto originalmente por el diputado Gabriel Gianoli. El análisis comenzó por los antecedentes del proceso de adquisición desarrollados entre 2010 y 2019, incluyendo el origen del proyecto OPV, las negociaciones regionales y los llamados a precalificación. Posteriormente se abordaron las compras directas por excepción Nº 1 y Nº 2 de 2022, así como las circunstancias que determinaron que ese procedimiento fuera dejado sin efecto.</w:t>
      </w:r>
    </w:p>
    <w:p w14:paraId="00000010">
      <w:pPr>
        <w:numPr>
          <w:ilvl w:val="0"/>
          <w:numId w:val="1"/>
        </w:numPr>
        <w:spacing w:after="0"/>
        <w:ind w:left="0" w:hanging="566"/>
      </w:pPr>
      <w:r>
        <w:rPr>
          <w:rtl w:val="0"/>
        </w:rPr>
        <w:t>En una tercera etapa, la Comisión concentró su trabajo en el proceso desarrollado durante 2023 que culminó con la selección y contratación de Francisco Cardama S.A., incluyendo la negociación y firma del contrato. Finalmente, se analizaron la constitución y control de las garantías, la ejecución contractual, los pagos efectuados, la documentación posteriormente constatada como falsa y las actuaciones desarrolladas hasta la rescisión del contrato en 2026.</w:t>
      </w:r>
    </w:p>
    <w:p w14:paraId="00000011">
      <w:pPr>
        <w:numPr>
          <w:ilvl w:val="0"/>
          <w:numId w:val="1"/>
        </w:numPr>
        <w:ind w:left="0" w:hanging="566"/>
      </w:pPr>
      <w:r>
        <w:rPr>
          <w:rtl w:val="0"/>
        </w:rPr>
        <w:t>Corresponde consignar, asimismo, un hecho de particular relevancia institucional ocurrido durante el funcionamiento de la Comisión. El Fiscal Letrado Penal de Montevideo de Delitos Económicos y Complejos de 1º Turno, Dr. Gilberto Rodríguez, solicitó mediante oficio dirigido a la Presidenta de la Asamblea General la remisión de la totalidad de las actuaciones de esta Comisión “</w:t>
      </w:r>
      <w:r>
        <w:rPr>
          <w:i/>
          <w:iCs/>
          <w:rtl w:val="0"/>
        </w:rPr>
        <w:t>a la brevedad posible o cuando la Comisión termine su trabajo</w:t>
      </w:r>
      <w:r>
        <w:rPr>
          <w:rtl w:val="0"/>
        </w:rPr>
        <w:t>”. La solicitud fue considerada en la sesión de 10 de agosto de 2026 y contó con el acuerdo de todos los partidos con representación en la Comisión (VT de 10 de agosto de 2026, págs. 8 y 9).</w:t>
      </w:r>
    </w:p>
    <w:p w14:paraId="00000012">
      <w:pPr>
        <w:pStyle w:val="4"/>
        <w:keepNext w:val="0"/>
        <w:keepLines w:val="0"/>
        <w:spacing w:before="200" w:after="200"/>
        <w:rPr>
          <w:b/>
          <w:bCs/>
          <w:color w:val="000000"/>
          <w:sz w:val="24"/>
          <w:szCs w:val="24"/>
        </w:rPr>
      </w:pPr>
      <w:bookmarkStart w:id="4" w:name="_heading=h.gn2kct2tu0ab" w:colFirst="0" w:colLast="0"/>
      <w:bookmarkEnd w:id="4"/>
      <w:r>
        <w:rPr>
          <w:b/>
          <w:bCs/>
          <w:color w:val="000000"/>
          <w:sz w:val="24"/>
          <w:szCs w:val="24"/>
          <w:rtl w:val="0"/>
        </w:rPr>
        <w:t>A. DOCUMENTACIÓN Y TESTIMONIOS CONSIDERADOS POR LA COMISIÓN</w:t>
      </w:r>
    </w:p>
    <w:p w14:paraId="00000013">
      <w:pPr>
        <w:numPr>
          <w:ilvl w:val="0"/>
          <w:numId w:val="1"/>
        </w:numPr>
        <w:ind w:left="0" w:hanging="566"/>
      </w:pPr>
      <w:r>
        <w:rPr>
          <w:rtl w:val="0"/>
        </w:rPr>
        <w:t xml:space="preserve">La Comisión recabó un volumen significativo de documentación proveniente de distintas reparticiones del Estado, principalmente del Ministerio de Defensa Nacional, la Armada Nacional y el Poder Ejecutivo. Asimismo, se incorporaron comunicaciones y documentos producidos por asesores y terceros que habían intervenido en las distintas etapas del proceso de adquisición y ejecución contractual. </w:t>
      </w:r>
    </w:p>
    <w:p w14:paraId="00000014">
      <w:pPr>
        <w:numPr>
          <w:ilvl w:val="0"/>
          <w:numId w:val="1"/>
        </w:numPr>
        <w:ind w:left="0" w:hanging="566"/>
      </w:pPr>
      <w:r>
        <w:rPr>
          <w:rtl w:val="0"/>
        </w:rPr>
        <w:t>En el caso de las convocatorias a invitados, estas fueron definidas de acuerdo con los bloques y etapas establecidos en la metodología de trabajo de la Comisión, procurando recibir la declaración de aquellas personas que, por sus responsabilidades o funciones, hubieran tenido intervención política, administrativa, técnica o jurídica en las distintas fases del proceso investigado.</w:t>
      </w:r>
    </w:p>
    <w:p w14:paraId="00000015">
      <w:pPr>
        <w:numPr>
          <w:ilvl w:val="0"/>
          <w:numId w:val="1"/>
        </w:numPr>
        <w:spacing w:after="0"/>
        <w:ind w:left="0" w:hanging="566"/>
      </w:pPr>
      <w:r>
        <w:rPr>
          <w:rtl w:val="0"/>
        </w:rPr>
        <w:t>Para el análisis del período 2010-2020, comparecieron Alberto Caramés, Almirante (r) y ex Comandante en Jefe de la Armada Nacional entre 2010 y 2012; Leonardo Alonso, Almirante (r) y ex Comandante en Jefe entre 2015 y 2018; Carlos Abilleira, ex Comandante en Jefe entre 2018 y 2020; Hernán Planchón, ex Director General de Secretaría del Ministerio de Defensa Nacional y José Bayardi, ex Ministro de Defensa Nacional.</w:t>
      </w:r>
    </w:p>
    <w:p w14:paraId="00000016">
      <w:pPr>
        <w:numPr>
          <w:ilvl w:val="0"/>
          <w:numId w:val="1"/>
        </w:numPr>
        <w:spacing w:after="0"/>
        <w:ind w:left="0" w:hanging="566"/>
      </w:pPr>
      <w:r>
        <w:rPr>
          <w:rtl w:val="0"/>
        </w:rPr>
        <w:t>En relación con las compras directas de 2022 y el proceso de selección de Francisco Cardama S.A. en 2023, declararon Jorge Wilson, Almirante (r) y ex Comandante en Jefe de la Armada Nacional; Gustavo Musso, Contraalmirante (r) y ex Jefe del Estado Mayor; Héctor Magliocca, Contraalmirante (r); Gustavo Luciani, Contraalmirante (r); Mario Vizcay, Contraalmirante (r); y José Ruiz, Contraalmirante, Director General de Material Naval y ex Jefe del Proyecto OPV.</w:t>
      </w:r>
    </w:p>
    <w:p w14:paraId="00000017">
      <w:pPr>
        <w:numPr>
          <w:ilvl w:val="0"/>
          <w:numId w:val="1"/>
        </w:numPr>
        <w:spacing w:after="0"/>
        <w:ind w:left="0" w:hanging="566"/>
      </w:pPr>
      <w:r>
        <w:rPr>
          <w:rtl w:val="0"/>
        </w:rPr>
        <w:t>Asimismo, comparecieron oficiales que habían participado en las instancias técnicas de evaluación y la Comisión Técnica que elaboró las Condiciones de los Pliegos: Rodrigo Márquez, Capitán de Navío; Edouard Castello, Capitán de Navío; Pablo Gimer, Capitán de Fragata; y Nicolás Romano, Capitán de Corbeta.</w:t>
      </w:r>
    </w:p>
    <w:p w14:paraId="00000018">
      <w:pPr>
        <w:numPr>
          <w:ilvl w:val="0"/>
          <w:numId w:val="1"/>
        </w:numPr>
        <w:spacing w:after="0"/>
        <w:ind w:left="0" w:hanging="566"/>
      </w:pPr>
      <w:r>
        <w:rPr>
          <w:rtl w:val="0"/>
        </w:rPr>
        <w:t>Respecto de la negociación, firma y constitución de las garantías del contrato, la Comisión recibió las declaraciones de Javier García, ex Ministro de Defensa Nacional; Fabián Martínez, ex Director General de Secretaría del MDN; Armando Castaingdebat, ex Ministro de Defensa Nacional; Carlos Delpiazzo y José Miguel Delpiazzo del Estudio Delpiazzo Abogados. El Cr. Damián GALÓ, ex Director General de Recursos Financieros del MDN, fue invitado y comunicó que declinaba la invitación en virtud de existir un sumario en curso respecto de su persona.</w:t>
      </w:r>
    </w:p>
    <w:p w14:paraId="00000019">
      <w:pPr>
        <w:numPr>
          <w:ilvl w:val="0"/>
          <w:numId w:val="1"/>
        </w:numPr>
        <w:ind w:left="0" w:hanging="566"/>
      </w:pPr>
      <w:r>
        <w:rPr>
          <w:rtl w:val="0"/>
        </w:rPr>
        <w:t>Finalmente, en relación con la etapa posterior, la rescisión del contrato y las actuaciones desarrolladas durante la actual administración, compareció la actual Ministra de Defensa Nacional, Sandra Lazo.</w:t>
      </w:r>
    </w:p>
    <w:p w14:paraId="0000001A">
      <w:pPr>
        <w:pStyle w:val="4"/>
        <w:spacing w:before="200" w:after="200"/>
        <w:rPr>
          <w:b/>
          <w:bCs/>
          <w:color w:val="000000"/>
          <w:sz w:val="24"/>
          <w:szCs w:val="24"/>
        </w:rPr>
      </w:pPr>
      <w:bookmarkStart w:id="5" w:name="_heading=h.1sm4yyi9igqh" w:colFirst="0" w:colLast="0"/>
      <w:bookmarkEnd w:id="5"/>
      <w:r>
        <w:rPr>
          <w:b/>
          <w:bCs/>
          <w:color w:val="000000"/>
          <w:sz w:val="24"/>
          <w:szCs w:val="24"/>
          <w:rtl w:val="0"/>
        </w:rPr>
        <w:t xml:space="preserve">B. ESTRUCTURA DEL INFORME </w:t>
      </w:r>
    </w:p>
    <w:p w14:paraId="0000001B">
      <w:pPr>
        <w:numPr>
          <w:ilvl w:val="0"/>
          <w:numId w:val="1"/>
        </w:numPr>
        <w:ind w:left="0" w:hanging="566"/>
      </w:pPr>
      <w:r>
        <w:rPr>
          <w:rtl w:val="0"/>
        </w:rPr>
        <w:t>A efectos de exponer de manera ordenada los hechos constatados durante la investigación, el presente informe mantiene la estructura cronológica utilizada por la Comisión durante su actuación. En consecuencia, el análisis se organiza en cuatro bloques, correspondientes a los principales períodos y etapas del proceso de adquisición de patrulleros oceánicos.</w:t>
      </w:r>
    </w:p>
    <w:p w14:paraId="0000001C">
      <w:pPr>
        <w:numPr>
          <w:ilvl w:val="0"/>
          <w:numId w:val="1"/>
        </w:numPr>
        <w:spacing w:after="0"/>
        <w:ind w:left="0" w:hanging="566"/>
      </w:pPr>
      <w:r>
        <w:rPr>
          <w:rtl w:val="0"/>
        </w:rPr>
        <w:t>En cada bloque se exponen los hechos que surgen acreditados de la documentación incorporada y de las declaraciones recibidas, identificando las decisiones adoptadas, las autoridades intervinientes y los elementos relevantes para su valoración. Sobre esa base, el informe formula finalmente las conclusiones generales de la investigación.</w:t>
      </w:r>
    </w:p>
    <w:p w14:paraId="0000001D">
      <w:pPr>
        <w:numPr>
          <w:ilvl w:val="0"/>
          <w:numId w:val="1"/>
        </w:numPr>
        <w:spacing w:after="0"/>
        <w:ind w:left="0" w:hanging="566"/>
      </w:pPr>
      <w:r>
        <w:rPr>
          <w:rtl w:val="0"/>
        </w:rPr>
        <w:t>Las citas de las versiones taquigráficas incluidas en este informe refieren a la fecha de la respectiva sesión de la Comisión y a la paginación de los distribuidos oficiales correspondientes.</w:t>
      </w:r>
    </w:p>
    <w:p w14:paraId="0000001E">
      <w:pPr>
        <w:numPr>
          <w:ilvl w:val="0"/>
          <w:numId w:val="1"/>
        </w:numPr>
        <w:ind w:left="0" w:hanging="566"/>
      </w:pPr>
      <w:r>
        <w:rPr>
          <w:rtl w:val="0"/>
        </w:rPr>
        <w:t>La documentación incorporada y los testimonios recibidos permitieron reconstruir las distintas etapas del proceso investigado. A continuación, se desarrollan los hechos que la Comisión considera acreditados, siguiendo el orden cronológico y temático adoptado durante su trabajo.</w:t>
      </w:r>
    </w:p>
    <w:p w14:paraId="0000001F">
      <w:pPr>
        <w:pStyle w:val="2"/>
        <w:spacing w:before="200" w:after="200"/>
        <w:rPr>
          <w:u w:val="single"/>
        </w:rPr>
      </w:pPr>
      <w:bookmarkStart w:id="6" w:name="_heading=h.rqdm12j8et3d" w:colFirst="0" w:colLast="0"/>
      <w:bookmarkEnd w:id="6"/>
      <w:r>
        <w:rPr>
          <w:u w:val="single"/>
          <w:rtl w:val="0"/>
        </w:rPr>
        <w:t>III. PRIMERA ETAPA: PERÍODO 2010-2020</w:t>
      </w:r>
    </w:p>
    <w:p w14:paraId="00000020">
      <w:pPr>
        <w:numPr>
          <w:ilvl w:val="0"/>
          <w:numId w:val="1"/>
        </w:numPr>
        <w:ind w:left="0" w:hanging="566"/>
      </w:pPr>
      <w:r>
        <w:rPr>
          <w:rtl w:val="0"/>
        </w:rPr>
        <w:t>Conforme las declaraciones brindadas por integrantes de los gobiernos que abarcan el período comprendido entre el año 2010 y el año 2020, el proceso para la adquisición de embarcaciones de tipo patrullero por parte de la Armada Nacional del Uruguay inició en el año 2009. En efecto, según declaró el ex Almirante Alberto CARAMÉS (que ocupó el cargo entre los años 2010 a 2012), en 2009 comenzaron las negociaciones entre dicha institución y las Armadas de las Repúblicas Argentina, Federativa del Brasil, de Colombia, de Chile y del Perú para la suscripción de un Memorando de Entendimiento para la cooperación regional en la construcción de unidades tipo patrullero (VT de fecha 9 de marzo de 2026, págs. 40 y 41). La suscripción del referido documento, junto a sus Anexos 1 y 2, por parte del Uruguay fue autorizada por el entonces Presidente de la República según Resolución N° 1435/009 de 21 de diciembre de 2009 (publicada en el Diario Oficial N° 27.893 de 8 de enero de 2010). Como precisó el propio CARAMÉS, aquel proyecto regional no preveía comprar unidades "llave en mano" sino construirlas en el país: "</w:t>
      </w:r>
      <w:r>
        <w:rPr>
          <w:i/>
          <w:iCs/>
          <w:rtl w:val="0"/>
        </w:rPr>
        <w:t>Acá no se habla de incorporar, de comprar llave en mano, ni de nada, sino de hacerlas en el país</w:t>
      </w:r>
      <w:r>
        <w:rPr>
          <w:rtl w:val="0"/>
        </w:rPr>
        <w:t>" (VT del 9 de marzo de 2026, pág. 41).</w:t>
      </w:r>
    </w:p>
    <w:p w14:paraId="00000021">
      <w:pPr>
        <w:numPr>
          <w:ilvl w:val="0"/>
          <w:numId w:val="1"/>
        </w:numPr>
        <w:spacing w:after="0"/>
        <w:ind w:left="0" w:hanging="566"/>
      </w:pPr>
      <w:r>
        <w:rPr>
          <w:rtl w:val="0"/>
        </w:rPr>
        <w:t>Con el paso del tiempo ese proyecto común “</w:t>
      </w:r>
      <w:r>
        <w:rPr>
          <w:i/>
          <w:iCs/>
          <w:rtl w:val="0"/>
        </w:rPr>
        <w:t>se fue desvaneciendo y cada armada trató de buscar su camino</w:t>
      </w:r>
      <w:r>
        <w:rPr>
          <w:rtl w:val="0"/>
        </w:rPr>
        <w:t>” y la Armada Nacional “</w:t>
      </w:r>
      <w:r>
        <w:rPr>
          <w:i/>
          <w:iCs/>
          <w:rtl w:val="0"/>
        </w:rPr>
        <w:t>continuó con la idea imprescindible de la renovación de su flota, teniendo en cuenta la vetustez de todos los medios con los que contaba</w:t>
      </w:r>
      <w:r>
        <w:rPr>
          <w:rtl w:val="0"/>
        </w:rPr>
        <w:t>”, para lo cual “</w:t>
      </w:r>
      <w:r>
        <w:rPr>
          <w:i/>
          <w:iCs/>
          <w:rtl w:val="0"/>
        </w:rPr>
        <w:t>siguió viendo en el mercado qué opciones o qué oportunidades podría haber para esa renovación imprescindible de las unidades mayores</w:t>
      </w:r>
      <w:r>
        <w:rPr>
          <w:rtl w:val="0"/>
        </w:rPr>
        <w:t xml:space="preserve">”, según declaró el ex Almirante Leonardo ALONSO, que ocupó el cargo entre los años 2015 a 2018 (VT de fecha 6 de abril de 2026, pág. 9). </w:t>
      </w:r>
    </w:p>
    <w:p w14:paraId="00000022">
      <w:pPr>
        <w:numPr>
          <w:ilvl w:val="0"/>
          <w:numId w:val="1"/>
        </w:numPr>
        <w:spacing w:after="0"/>
        <w:ind w:left="0" w:hanging="566"/>
      </w:pPr>
      <w:r>
        <w:rPr>
          <w:rtl w:val="0"/>
        </w:rPr>
        <w:t>En ese proceso de búsqueda la Armada determinó un criterio imprescindible: "</w:t>
      </w:r>
      <w:r>
        <w:rPr>
          <w:i/>
          <w:iCs/>
          <w:rtl w:val="0"/>
        </w:rPr>
        <w:t>una condición sine qua non que se estableció -o que por lo menos yo establecí- fue que el buque a adquirir cero, tenía necesariamente que ser comprobado. Esto quiere decir que no habláramos de un prototipo ni de una entelequia que no estaba construida, sino de algo que hubiera sido construido, que estuviera demostrado y que estuviera navegando</w:t>
      </w:r>
      <w:r>
        <w:rPr>
          <w:rtl w:val="0"/>
        </w:rPr>
        <w:t>" (VT del 6 de abril de 2026, pág. 10). El ex Almirante ALONSO precisó ante la Comisión que en los llamados de la época hubo dos requisitos esenciales: "</w:t>
      </w:r>
      <w:r>
        <w:rPr>
          <w:i/>
          <w:iCs/>
          <w:rtl w:val="0"/>
        </w:rPr>
        <w:t>Una, que no fuera un prototipo, y otra, que la embarcación estuviera construida por el astillero que la estaba proponiendo</w:t>
      </w:r>
      <w:r>
        <w:rPr>
          <w:rtl w:val="0"/>
        </w:rPr>
        <w:t xml:space="preserve">" (VT del 6 de abril de 2026, pág. 22). Como se verá, ninguno de esos dos requisitos esenciales (mantenidos de manera constante por la Armada Nacional durante más de una década) se cumplió en la contratación del astillero Cardama en el año 2023. </w:t>
      </w:r>
    </w:p>
    <w:p w14:paraId="00000023">
      <w:pPr>
        <w:numPr>
          <w:ilvl w:val="0"/>
          <w:numId w:val="1"/>
        </w:numPr>
        <w:spacing w:after="0"/>
        <w:ind w:left="0" w:hanging="566"/>
      </w:pPr>
      <w:r>
        <w:rPr>
          <w:rtl w:val="0"/>
        </w:rPr>
        <w:t>Siguiendo esos criterios, se desarrolló un proceso de evaluación de embarcaciones en funcionamiento existentes en el mercado, confeccionando una grilla de fabricantes y cualidades técnicas, que derivó en un llamado a ofertas realizado en el año 2013 (según consignó el ex Almirante Carlos ABILLEIRA, que ocupó el cargo entre los años 2018 a 2020, VT del 9 de marzo de 2026, págs. 26 a 28). Los requisitos técnicos definidos entonces resultaban exigentes: no menos de 1.500 toneladas de desplazamiento, 80 a 90 metros de eslora, estabilizadores para operación de helicóptero, lanchas rápidas, dotación reducida, propulsión diésel económica, casco de acero naval y capacidad de mantenimiento en el dique de la Armada (VT del 9 de marzo de 2026, págs. 26 y 27). En setiembre de 2013 la grilla de evaluación quedó liderada por el astillero Lürssen de Alemania, seguido de cerca por el L'Adroit de Francia, Fassmer de Alemania y el astillero de Portugal (VT del 9 de marzo de 2026, págs. 27 y 28). Durante los meses de octubre y diciembre del año 2015 comparecieron ante la Comisión de Defensa Nacional del Senado de la República cuatro empresas precalificadas por la Armada Nacional para la construcción de unidades tipo patrullero (Fassmer, de Alemania; DCNS, de Francia; Lürssen, de Alemania y CSOC, de China). Las cuatro refirieron una probada construcción de material flotante de las características requeridas y operativas en distintas armadas del mundo (Distribuidos N° 394/2015, 463/2015 y 518/2015 del Senado). Como declaró el Prof. Hernán PLANCHÓN, ex Director General de Secretaría del MDN: "</w:t>
      </w:r>
      <w:r>
        <w:rPr>
          <w:i/>
          <w:iCs/>
          <w:rtl w:val="0"/>
        </w:rPr>
        <w:t>CNDS ya tenía L'Adroit, una OPV, en funciones por la Armada francesa. […] Fassmer había construido OPV para Colombia y Chile […] Lürssen también había construido este tipo de embarcaciones y tiene una larga experiencia como astillero. El astillero chino había construido tres OPV</w:t>
      </w:r>
      <w:r>
        <w:rPr>
          <w:rtl w:val="0"/>
        </w:rPr>
        <w:t>" (VT del 16 de marzo de 2026, pág. 33). El criterio rector fue confirmado en el mismo acto: se evaluó "</w:t>
      </w:r>
      <w:r>
        <w:rPr>
          <w:i/>
          <w:iCs/>
          <w:rtl w:val="0"/>
        </w:rPr>
        <w:t>la experiencia […] del desarrollo técnico de esas empresas, y no planos o prototipos. Estamos hablando de material flotante en actividad puesto al servicio de las Armadas de otros estados</w:t>
      </w:r>
      <w:r>
        <w:rPr>
          <w:rtl w:val="0"/>
        </w:rPr>
        <w:t>" (VT del 16 de marzo de 2026, pág. 34).</w:t>
      </w:r>
    </w:p>
    <w:p w14:paraId="00000024">
      <w:pPr>
        <w:numPr>
          <w:ilvl w:val="0"/>
          <w:numId w:val="1"/>
        </w:numPr>
        <w:spacing w:after="0"/>
        <w:ind w:left="0" w:hanging="566"/>
      </w:pPr>
      <w:r>
        <w:rPr>
          <w:rtl w:val="0"/>
        </w:rPr>
        <w:t>A pesar de las acciones desarrolladas, el proyecto de adquisición de los patrulleros oceánicos no continuó en virtud de que los gobiernos de la época establecieron otras prioridades nacionales a los efectos de la distribución de los recursos del Estado y la Armada destinó los rubros previstos para sus inversiones para priorizar la refacción del buque escuela "Capitán Miranda" y la remotorización del buque "General Artigas" (VT del 9 de marzo de 2026, págs. 22 y 25). Los testimonios recibidos fueron contestes en ese punto: el ex Subsecretario de Economía y Finanzas Cr. Pablo FERRERI declaró que "</w:t>
      </w:r>
      <w:r>
        <w:rPr>
          <w:i/>
          <w:iCs/>
          <w:rtl w:val="0"/>
        </w:rPr>
        <w:t>finalmente no quedó ningún crédito presupuestado […] para la compra de este material. Por supuesto, si eso hubiera ocurrido y se hubiera avanzado habría habido una licitación pública internacional, que entendemos es el mecanismo por el cual se deben comprar este tipo de elementos</w:t>
      </w:r>
      <w:r>
        <w:rPr>
          <w:rtl w:val="0"/>
        </w:rPr>
        <w:t>" (VT del 9 de marzo de 2026, págs. 7 y 8); el ex Almirante ABILLEIRA sostuvo que "</w:t>
      </w:r>
      <w:r>
        <w:rPr>
          <w:i/>
          <w:iCs/>
          <w:rtl w:val="0"/>
        </w:rPr>
        <w:t>ni yo ni quien me precedió, el almirante Alonso, en ese período 2015-2020, evaluamos o tuvimos la posibilidad de retomar el proyecto OPV lisa y sencillamente porque el presupuesto no albergó dineros para ello</w:t>
      </w:r>
      <w:r>
        <w:rPr>
          <w:rtl w:val="0"/>
        </w:rPr>
        <w:t>" (VT del 9 de marzo de 2026, pág. 25); y el ex Ministro José BAYARDI fue categórico respecto de su gestión: "</w:t>
      </w:r>
      <w:r>
        <w:rPr>
          <w:i/>
          <w:iCs/>
          <w:rtl w:val="0"/>
        </w:rPr>
        <w:t>Para la adquisición de las OPV, desde el mes en que asumí hasta el final, no se hizo nada</w:t>
      </w:r>
      <w:r>
        <w:rPr>
          <w:rtl w:val="0"/>
        </w:rPr>
        <w:t xml:space="preserve">" (VT del 2 de marzo de 2026, pág. 18). </w:t>
      </w:r>
    </w:p>
    <w:p w14:paraId="00000025">
      <w:pPr>
        <w:numPr>
          <w:ilvl w:val="0"/>
          <w:numId w:val="1"/>
        </w:numPr>
        <w:shd w:val="clear" w:fill="FFFFFF"/>
        <w:spacing w:after="0"/>
        <w:ind w:left="0" w:hanging="566"/>
      </w:pPr>
      <w:r>
        <w:rPr>
          <w:rtl w:val="0"/>
        </w:rPr>
        <w:t>Interesa dejar establecidos, a los efectos del análisis que se desarrollará más adelante, los parámetros de precios de mercado que surgieron de las declaraciones sobre este período: el ex Almirante ALONSO declaró que hacia 2015 "</w:t>
      </w:r>
      <w:r>
        <w:rPr>
          <w:i/>
          <w:iCs/>
          <w:rtl w:val="0"/>
        </w:rPr>
        <w:t>el costo que se manejó sobre cada unidad de este tipo fue, aproximadamente, de entre US$ 60 millones y US$ 70 millones</w:t>
      </w:r>
      <w:r>
        <w:rPr>
          <w:rtl w:val="0"/>
        </w:rPr>
        <w:t>" tratándose de buques probados construidos por astilleros de primera línea (VT del 6 de abril de 2026, pág. 21); el ex Almirante CARAMÉS estimó el valor de "</w:t>
      </w:r>
      <w:r>
        <w:rPr>
          <w:i/>
          <w:iCs/>
          <w:rtl w:val="0"/>
        </w:rPr>
        <w:t>un OPV de US$ 100 millones de una empresa seria, tipo alemana</w:t>
      </w:r>
      <w:r>
        <w:rPr>
          <w:rtl w:val="0"/>
        </w:rPr>
        <w:t>" y recordó que "</w:t>
      </w:r>
      <w:r>
        <w:rPr>
          <w:i/>
          <w:iCs/>
          <w:rtl w:val="0"/>
        </w:rPr>
        <w:t>Argentina pagó por los 4 OPV comprados en Francia algo más de US$ 100 millones cada uno</w:t>
      </w:r>
      <w:r>
        <w:rPr>
          <w:rtl w:val="0"/>
        </w:rPr>
        <w:t>" (VT del 9 de marzo de 2026, págs. 41, 43 y 44); y la oferta de Lürssen declarada ante el Senado en 2015 comprendía tres buques construidos en Alemania, con apoyo logístico, entrenamiento, transferencia de tecnología y repuestos, por €201.000.000 más €14.000.000 (Distribuido N° 463/2015; VT del 16 de marzo de 2026, pág. 37).</w:t>
      </w:r>
    </w:p>
    <w:p w14:paraId="00000026">
      <w:pPr>
        <w:numPr>
          <w:ilvl w:val="0"/>
          <w:numId w:val="1"/>
        </w:numPr>
        <w:shd w:val="clear" w:fill="FFFFFF"/>
        <w:spacing w:after="0"/>
        <w:ind w:left="0" w:hanging="566"/>
      </w:pPr>
      <w:r>
        <w:rPr>
          <w:rtl w:val="0"/>
        </w:rPr>
        <w:t>En este período quedó registrado un antecedente que cobraría inusitada relevancia años después: la presencia del señor Gerardo MOREIRA, capitán de fragata retirado, como representante en plaza del astillero Lürssen, participante del viaje oficial a Bremen del 23 de marzo de 2016 junto a jerarcas del MDN y de la Armada, y gestor de reuniones al más alto nivel (incluida una reunión con el entonces Ministro de Economía en funciones Cr. FERRERI el 17 de octubre de 2016) (VT del 9 de marzo de 2026, págs. 9, 12 y 63; VT del 16 de marzo de 2026, págs. 11 y 13). El señor MOREIRA sería, en 2023, el representante e intermediario del astillero Cardama, extremo que se analizará en el capítulo correspondiente.</w:t>
      </w:r>
    </w:p>
    <w:p w14:paraId="00000027">
      <w:pPr>
        <w:numPr>
          <w:ilvl w:val="0"/>
          <w:numId w:val="1"/>
        </w:numPr>
        <w:shd w:val="clear" w:fill="FFFFFF"/>
        <w:spacing w:after="0"/>
        <w:ind w:left="0" w:hanging="566"/>
      </w:pPr>
      <w:r>
        <w:rPr>
          <w:rtl w:val="0"/>
        </w:rPr>
        <w:t>Entre 2010 y 2020, la necesidad de incorporar patrulleros oceánicos se mantuvo como una prioridad operativa de la Armada Nacional y existieron criterios técnicos definidos respecto de las características que debían reunir esas unidades. Durante ese período se desarrollaron estudios, evaluaciones y antecedentes orientados a una eventual adquisición, cuya concreción quedó sujeta a las definiciones presupuestales y a las prioridades de política pública adoptadas en cada etapa.</w:t>
      </w:r>
    </w:p>
    <w:p w14:paraId="00000028">
      <w:pPr>
        <w:numPr>
          <w:ilvl w:val="0"/>
          <w:numId w:val="1"/>
        </w:numPr>
        <w:shd w:val="clear" w:fill="FFFFFF"/>
        <w:spacing w:after="0"/>
        <w:ind w:left="0" w:hanging="566"/>
      </w:pPr>
      <w:r>
        <w:rPr>
          <w:rtl w:val="0"/>
        </w:rPr>
        <w:t>El período dejó, además, un acervo institucional relevante. Al comenzar la década siguiente el Estado no partía de cero, ya que existían antecedentes de cooperación regional, estudios de mercado, conocimiento de buques en servicio, criterios sobre diseños probados, experiencia de precalificación y una noción ya asentada de que los antecedentes del constructor constituían un elemento de protección frente al riesgo técnico y patrimonial.</w:t>
      </w:r>
    </w:p>
    <w:p w14:paraId="00000029">
      <w:pPr>
        <w:numPr>
          <w:ilvl w:val="0"/>
          <w:numId w:val="1"/>
        </w:numPr>
        <w:shd w:val="clear" w:fill="FFFFFF"/>
        <w:spacing w:after="0"/>
        <w:ind w:left="0" w:hanging="566"/>
      </w:pPr>
      <w:r>
        <w:rPr>
          <w:rtl w:val="0"/>
        </w:rPr>
        <w:t>Esta Comisión considera acreditado que, entre 2010 y 2020, coexistieron tres elementos centrales para comprender esta etapa. En primer lugar, una necesidad operativa persistente de renovar las unidades mayores de la Armada. En segundo término, un trabajo técnico sostenido para identificar soluciones y constructores con antecedentes verificables, orientado a reducir los riesgos propios de una inversión de esta magnitud. Finalmente, una restricción presupuestal que impidió transformar ese trabajo en una adquisición efectiva.</w:t>
      </w:r>
    </w:p>
    <w:p w14:paraId="0000002A">
      <w:pPr>
        <w:numPr>
          <w:ilvl w:val="0"/>
          <w:numId w:val="1"/>
        </w:numPr>
        <w:shd w:val="clear" w:fill="FFFFFF"/>
        <w:ind w:left="0" w:hanging="566"/>
      </w:pPr>
      <w:r>
        <w:rPr>
          <w:rtl w:val="0"/>
        </w:rPr>
        <w:t>Estos antecedentes permiten establecer el conocimiento técnico y los criterios de prudencia institucional acumulados por el Estado antes de los procedimientos de 2022 y 2023. La necesidad sostenida de incorporar patrulleros oceánicos explica que las administraciones posteriores procuraran finalmente concretar la adquisición. Precisamente por la importancia estratégica y económica de esa decisión, la experiencia acumulada hacía especialmente relevante preservar los recaudos en la selección del proveedor y verificar que tanto la solución elegida como el constructor ofrecieran garantías suficientes para el cumplimiento del contrato.</w:t>
      </w:r>
    </w:p>
    <w:p w14:paraId="0000002B">
      <w:pPr>
        <w:pStyle w:val="2"/>
        <w:spacing w:before="200" w:after="200"/>
        <w:rPr>
          <w:u w:val="single"/>
        </w:rPr>
      </w:pPr>
      <w:bookmarkStart w:id="7" w:name="_heading=h.an4qyaufelil" w:colFirst="0" w:colLast="0"/>
      <w:bookmarkEnd w:id="7"/>
      <w:r>
        <w:rPr>
          <w:u w:val="single"/>
          <w:rtl w:val="0"/>
        </w:rPr>
        <w:t>III. SEGUNDA ETAPA: LAS COMPRAS DIRECTAS DEL AÑO 2022</w:t>
      </w:r>
    </w:p>
    <w:p w14:paraId="0000002C">
      <w:pPr>
        <w:numPr>
          <w:ilvl w:val="0"/>
          <w:numId w:val="1"/>
        </w:numPr>
        <w:ind w:left="0" w:hanging="566"/>
      </w:pPr>
      <w:r>
        <w:rPr>
          <w:rtl w:val="0"/>
        </w:rPr>
        <w:t>En noviembre del año 2021 el entonces Almirante de la Armada Nacional Jorge WILSON remite al entonces Ministro de Defensa Nacional Dr. Javier GARCÍA dos documentos titulados “Consideraciones Técnicas para llamado a licitación por compra de buques nuevos para el Ministerio de Defensa Nacional - Armada Nacional” y “Consideraciones Técnicas para llamado a licitación por compra de buques usados para el Ministerio de Defensa Nacional - Armada Nacional”, conteniendo “</w:t>
      </w:r>
      <w:r>
        <w:rPr>
          <w:i/>
          <w:iCs/>
          <w:rtl w:val="0"/>
        </w:rPr>
        <w:t xml:space="preserve">las características técnicas que la Armada Nacional ha establecido como requerimiento para la incorporación de unidades flotantes” </w:t>
      </w:r>
      <w:r>
        <w:rPr>
          <w:rtl w:val="0"/>
        </w:rPr>
        <w:t>(Expediente N° 2021-3-18-0000553, fs. 103).</w:t>
      </w:r>
    </w:p>
    <w:p w14:paraId="0000002D">
      <w:pPr>
        <w:numPr>
          <w:ilvl w:val="0"/>
          <w:numId w:val="1"/>
        </w:numPr>
        <w:spacing w:after="0"/>
        <w:ind w:left="0" w:hanging="566"/>
      </w:pPr>
      <w:r>
        <w:rPr>
          <w:rtl w:val="0"/>
        </w:rPr>
        <w:t>En virtud del planteo formulado por la Armada el Ministerio de Defensa Nacional (MDN) solicitó autorización para realizar dos procedimientos de Compra Directa por Excepción de dos buques tipo OPV, usados o nuevos, al amparo del numeral 9 del literal D) del artículo 482 de la Ley N° 15.903, la cual obtuvo según Decreto del Poder Ejecutivo N° 245/021 (ídem, fs. 528).</w:t>
      </w:r>
    </w:p>
    <w:p w14:paraId="0000002E">
      <w:pPr>
        <w:numPr>
          <w:ilvl w:val="0"/>
          <w:numId w:val="1"/>
        </w:numPr>
        <w:spacing w:after="0"/>
        <w:ind w:left="0" w:hanging="566"/>
      </w:pPr>
      <w:r>
        <w:rPr>
          <w:rtl w:val="0"/>
        </w:rPr>
        <w:t>Es así que se elaboraron y aprobaron Pliegos de Condiciones Particulares conteniendo las Características Técnicas que debían cumplir las propuestas que se presentarían en el marco de los procesos de compra directa que se desarrollarían (ídem, fs. 529 y ss.). Estos pliegos recogieron las consideraciones técnicas oportunamente presentadas por el ex Almirante WILSON, y que fueran elaboradas por una Comisión Técnica integrada por oficiales especialistas de la Armada Nacional en las distintas áreas (proyección de capacidades, ingeniería de máquinas, electrónica, sistema de gestión de combate y comunicaciones). Los referidos pliegos establecían más de ochenta características de la propuesta técnica y de la propuesta comercial, muchas de las cuales revestían la naturaleza de excluyentes: entre ellas, dimensiones compatibles con la entrada al Dique Nacional y a la Dársena Fluvial, autonomía de 6.000 millas náuticas, capacidad de búsqueda y rescate hasta el meridiano 10° Oeste, dotación de entre 35 y 55 tripulantes, y capacidad de operación de helicóptero Agusta Bell 412 y lanchas de interceptación rápida (VT del 4 de mayo de 2026, págs. 19 a 22 y 25). Como declaró el Capitán de Navío Andrés DEBALI, integrante de dicha Comisión Técnica: "</w:t>
      </w:r>
      <w:r>
        <w:rPr>
          <w:i/>
          <w:iCs/>
          <w:rtl w:val="0"/>
        </w:rPr>
        <w:t>eran un montón, porque queríamos ser bastante específicos y en ese detalle buscar la objetividad</w:t>
      </w:r>
      <w:r>
        <w:rPr>
          <w:rtl w:val="0"/>
        </w:rPr>
        <w:t>" (VT del 4 de mayo de 2026, pág. 21).</w:t>
      </w:r>
    </w:p>
    <w:p w14:paraId="0000002F">
      <w:pPr>
        <w:numPr>
          <w:ilvl w:val="0"/>
          <w:numId w:val="1"/>
        </w:numPr>
        <w:spacing w:after="0"/>
        <w:ind w:left="0" w:hanging="566"/>
      </w:pPr>
      <w:r>
        <w:rPr>
          <w:rtl w:val="0"/>
        </w:rPr>
        <w:t xml:space="preserve">Aún cuando jurídicamente se utilizó la figura de la compra directa por excepción, el procedimiento fue desarrollado materialmente bajo una lógica competitiva. El MDN comunicó la convocatoria a misiones diplomáticas acreditadas en el país, recibió consultas de empresas de distintos orígenes, fijó condiciones comunes y estableció una instancia formal de apertura y evaluación de ofertas. La figura jurídica elegida, por tanto, no impidió que la Administración incorporara mecanismos de concurrencia, comparación y control técnico. </w:t>
      </w:r>
    </w:p>
    <w:p w14:paraId="00000030">
      <w:pPr>
        <w:numPr>
          <w:ilvl w:val="0"/>
          <w:numId w:val="1"/>
        </w:numPr>
        <w:spacing w:after="0"/>
        <w:ind w:left="0" w:hanging="566"/>
      </w:pPr>
      <w:r>
        <w:rPr>
          <w:rtl w:val="0"/>
        </w:rPr>
        <w:t>El 28 de marzo de 2022 se procedió a la apertura de ofertas presentadas en el marco de ambos procedimientos. En la Compra Directa por Excepción N° 01/2022 (adquisición de dos buques OPV nuevos) se presentaron tres ofertas de las empresas Damen Shipyards Gorinchem B.V., Kership SAS y Shipbuilding Trading Co. Ltda. (CSTC) (ídem, fs. 1276 y 1277). En la Compra Directa por Excepción N° 02/2022 (adquisición de dos buques OPV usados) no se presentaron ofertas (ídem, fs. 1278).</w:t>
      </w:r>
    </w:p>
    <w:p w14:paraId="00000031">
      <w:pPr>
        <w:numPr>
          <w:ilvl w:val="0"/>
          <w:numId w:val="1"/>
        </w:numPr>
        <w:spacing w:after="0"/>
        <w:ind w:left="0" w:hanging="566"/>
      </w:pPr>
      <w:r>
        <w:rPr>
          <w:rtl w:val="0"/>
        </w:rPr>
        <w:t>La Armada Nacional conformó una Comisión Técnica a efectos de evaluar las ofertas presentadas (Expediente N° 2021-3-18-0000598, fs. 3), la cual estaba integrada por oficiales especializados en distintas áreas. En abril de 2022 esta Comisión Técnica elevó a la Comisión Asesora de Adjudicaciones su informe con un pormenorizado análisis de las ofertas cotejadas con las Características Técnicas que otrora la Armada había detallado, el que concluyó que las ofertas presentadas por las empresas Damen y Kership incumplían múltiples ítems considerados excluyentes según el Pliego de Condiciones y que la empresa CSTC era la única que cumplía con las exigencias técnicas previstas (Expediente N° 2021-3-18-0000553, fs. 1285 y ss.). El propio ex Almirante WILSON lo confirmó ante la Comisión: "</w:t>
      </w:r>
      <w:r>
        <w:rPr>
          <w:i/>
          <w:iCs/>
          <w:rtl w:val="0"/>
        </w:rPr>
        <w:t>quedó primera la oferta china; segunda, la de Damen, y tercera, la de Kership. La de China cumplía el 100 %, Damen estaba en el entorno del 90 % y la francesa, 80 y algo de los ítems calificados. En realidad, se pedía que cumplieran el 100 %; por lo tanto, China era la única que satisfacía plenamente</w:t>
      </w:r>
      <w:r>
        <w:rPr>
          <w:rtl w:val="0"/>
        </w:rPr>
        <w:t>" (VT del 27 de abril de 2026, pág. 19).</w:t>
      </w:r>
    </w:p>
    <w:p w14:paraId="00000032">
      <w:pPr>
        <w:numPr>
          <w:ilvl w:val="0"/>
          <w:numId w:val="1"/>
        </w:numPr>
        <w:spacing w:after="0"/>
        <w:ind w:left="0" w:hanging="566"/>
      </w:pPr>
      <w:r>
        <w:rPr>
          <w:rtl w:val="0"/>
        </w:rPr>
        <w:t xml:space="preserve">En informe fechado el 29 de abril de 2022 la Comisión Asesora de Adjudicaciones concluyó que la única oferta válida era la de CSTC con un puntaje total ponderado de 96 sobre 100 (ídem, fs. 1361 y ss.). En informe de 14 de octubre de 2022 la Comisión recomendó adjudicar la Compra Directa de dos buques OPV a la empresa China Shipbuilding Trading Co. Ltd. por un monto de U$S 161.480.000 (ídem, fs. 1488). </w:t>
      </w:r>
    </w:p>
    <w:p w14:paraId="00000033">
      <w:pPr>
        <w:numPr>
          <w:ilvl w:val="0"/>
          <w:numId w:val="1"/>
        </w:numPr>
        <w:spacing w:after="0"/>
        <w:ind w:left="0" w:hanging="566"/>
      </w:pPr>
      <w:r>
        <w:rPr>
          <w:rtl w:val="0"/>
        </w:rPr>
        <w:t xml:space="preserve">Con fecha 22 de marzo de 2023 se dictó el Decreto del Poder Ejecutivo N° 475/023, firmado por el Ministro Javier GARCÍA, la Ministra de Economía y Finanzas Azucena ARBELECHE y el Presidente de la República Luis LACALLE POU, por el que se dejó sin efecto el llamado a Compra Directa por Excepción, fundamentando la decisión en que </w:t>
      </w:r>
      <w:r>
        <w:rPr>
          <w:i/>
          <w:iCs/>
          <w:rtl w:val="0"/>
        </w:rPr>
        <w:t>“la eventual erogación resultante de las ofertas presentadas en el llamado de referencia supera las previsiones estimadas inicialmente”</w:t>
      </w:r>
      <w:r>
        <w:rPr>
          <w:rtl w:val="0"/>
        </w:rPr>
        <w:t xml:space="preserve"> (ídem, fs. 1572). Ante esta Comisión, el ex Ministro GARCÍA explicó el fundamento exclusivamente económico de la decisión: la inversión prevista era </w:t>
      </w:r>
      <w:r>
        <w:rPr>
          <w:i/>
          <w:iCs/>
          <w:rtl w:val="0"/>
        </w:rPr>
        <w:t>“en torno a los USD 100:000.000”</w:t>
      </w:r>
      <w:r>
        <w:rPr>
          <w:rtl w:val="0"/>
        </w:rPr>
        <w:t xml:space="preserve"> y </w:t>
      </w:r>
      <w:r>
        <w:rPr>
          <w:i/>
          <w:iCs/>
          <w:rtl w:val="0"/>
        </w:rPr>
        <w:t>“el llamado, este, que se dejó sin efecto, era de USD 160:000.000. No los teníamos”</w:t>
      </w:r>
      <w:r>
        <w:rPr>
          <w:rtl w:val="0"/>
        </w:rPr>
        <w:t xml:space="preserve"> (VT del 20 de julio de 2026, pág. 13). Consultado por la senadora Kechichian sobre quién le informó que las ofertas superaban las previsiones y quién propuso dejar sin efecto la compra, qué informes técnicos, económicos o financieros respaldaron la decisión, si consultó al Presidente de la República y al Ministerio de Economía y Finanzas, y si se evaluó solicitar mejoras económicas a los oferentes ya presentados antes de abandonar un procedimiento competitivo que había insumido más de un año de trabajo técnico (VT del 20 de julio de 2026, pág. 17), el ex Ministro admitió que no existió informe alguno: </w:t>
      </w:r>
      <w:r>
        <w:rPr>
          <w:i/>
          <w:iCs/>
          <w:rtl w:val="0"/>
        </w:rPr>
        <w:t>“Está en las ofertas de cuánto pide cada uno. Se hace una tabla […] Es mirar las cifras y punto, nada más; no requiere ningún análisis importante”</w:t>
      </w:r>
      <w:r>
        <w:rPr>
          <w:rtl w:val="0"/>
        </w:rPr>
        <w:t xml:space="preserve"> (ídem, pág. 18). Las restantes preguntas no obtuvieron respuesta concreta: el compareciente derivó su intervención hacia el proceso de recompra del gobierno actual y respondió en tono confrontativo (</w:t>
      </w:r>
      <w:r>
        <w:rPr>
          <w:i/>
          <w:iCs/>
          <w:rtl w:val="0"/>
        </w:rPr>
        <w:t xml:space="preserve">“¿Quién va a tomar la resolución? ¡Usted fue ministra! […] O, ¿usted es irresponsable?”; “Sinceramente, me parece muy absurda la pregunta” </w:t>
      </w:r>
      <w:r>
        <w:rPr>
          <w:rtl w:val="0"/>
        </w:rPr>
        <w:t xml:space="preserve">— págs. 20 y 21), dejando la senadora expresa constancia: </w:t>
      </w:r>
      <w:r>
        <w:rPr>
          <w:i/>
          <w:iCs/>
          <w:rtl w:val="0"/>
        </w:rPr>
        <w:t>“Sigue sin responderme. […] Lo que usted no me contesta […] es si evaluaron pedirles mejoras económicas a los astilleros que ya se habían presentado y si usted consultó con el presidente de la república para salir del proceso competitivo e ir a la compra directa”</w:t>
      </w:r>
      <w:r>
        <w:rPr>
          <w:rtl w:val="0"/>
        </w:rPr>
        <w:t xml:space="preserve"> (págs. 21 y 22). Sobre las mejoras, la única respuesta fue una admisión de imprecisión: </w:t>
      </w:r>
      <w:r>
        <w:rPr>
          <w:i/>
          <w:iCs/>
          <w:rtl w:val="0"/>
        </w:rPr>
        <w:t xml:space="preserve">“no lo tengo precisamente […] no acuerdo si era primera oferta o si eran mejoras” </w:t>
      </w:r>
      <w:r>
        <w:rPr>
          <w:rtl w:val="0"/>
        </w:rPr>
        <w:t xml:space="preserve">(pág. 22), sin acreditar que se hubiera solicitado mejora alguna. En cambio, ante la repregunta del diputado Garlo sobre quién propuso la decisión, el ex Ministro asumió personalmente su autoría: </w:t>
      </w:r>
      <w:r>
        <w:rPr>
          <w:i/>
          <w:iCs/>
          <w:rtl w:val="0"/>
        </w:rPr>
        <w:t>“Yo. Le contesto ya, si no quedó claro. Yo era el responsable político del Ministerio de Defensa Nacional, ¿quién otro, además del ministro, va a decidirlo?”</w:t>
      </w:r>
      <w:r>
        <w:rPr>
          <w:rtl w:val="0"/>
        </w:rPr>
        <w:t xml:space="preserve"> (pág. 22); </w:t>
      </w:r>
      <w:r>
        <w:rPr>
          <w:i/>
          <w:iCs/>
          <w:rtl w:val="0"/>
        </w:rPr>
        <w:t xml:space="preserve">“Yo propuse y firmamos –como leí acá– con el Presidente, pero soy yo el que decide y se lo propuse al presidente” </w:t>
      </w:r>
      <w:r>
        <w:rPr>
          <w:rtl w:val="0"/>
        </w:rPr>
        <w:t>(pág. 23). Queda así acreditado que la decisión de no continuar con el único procedimiento competitivo del proceso —el que contaba con pliego, Comisión Técnica y evaluación reglada— fue una decisión del Ministro de Defensa Nacional, adoptada sin informes, sin explorar mejoras de ofertas y sin otra fundamentación que una cota presupuestal que, paradójicamente, meses después no impidió comprometer € 82.270.000 en una contratación directa sin pliego ni competencia.</w:t>
      </w:r>
    </w:p>
    <w:p w14:paraId="00000034">
      <w:pPr>
        <w:numPr>
          <w:ilvl w:val="0"/>
          <w:numId w:val="1"/>
        </w:numPr>
        <w:spacing w:after="0"/>
        <w:ind w:left="0" w:hanging="566"/>
      </w:pPr>
      <w:r>
        <w:rPr>
          <w:rtl w:val="0"/>
        </w:rPr>
        <w:t>La mayoría considera acreditado que el procedimiento de 2022 no fue dejado sin efecto por la desaparición de la necesidad operativa ni por una objeción técnica a la propuesta seleccionada. Al contrario, el proceso había concluido con una recomendación favorable desde los planos técnico y administrativo.</w:t>
      </w:r>
    </w:p>
    <w:p w14:paraId="00000035">
      <w:pPr>
        <w:numPr>
          <w:ilvl w:val="0"/>
          <w:numId w:val="1"/>
        </w:numPr>
        <w:spacing w:after="0"/>
        <w:ind w:left="0" w:hanging="566"/>
      </w:pPr>
      <w:r>
        <w:rPr>
          <w:rtl w:val="0"/>
        </w:rPr>
        <w:t>Luego de dejar sin efecto la compra de buques nuevos, el Ministerio y la Armada continuaron explorando alternativas, incluida la posibilidad de adquirir buques usados de la clase noruega Nordkapp. Esa opción fue descartada, según las declaraciones recibidas, porque su calado impedía realizar normalmente tareas de mantenimiento en el dique nacional y habría generado una dependencia permanente de servicios en el exterior. El episodio demuestra que, aun bajo la necesidad de encontrar una solución más económica, la Armada continuó considerando factores de sostenibilidad logística y costos de ciclo de vida, y no únicamente el precio de adquisición.</w:t>
      </w:r>
    </w:p>
    <w:p w14:paraId="00000036">
      <w:pPr>
        <w:numPr>
          <w:ilvl w:val="0"/>
          <w:numId w:val="1"/>
        </w:numPr>
        <w:spacing w:after="0"/>
        <w:ind w:left="0" w:hanging="566"/>
      </w:pPr>
      <w:r>
        <w:rPr>
          <w:rtl w:val="0"/>
        </w:rPr>
        <w:t>El procedimiento de 2022 dejó, además, un acervo técnico e institucional inmediato: pliegos detallados, más de ochenta exigencias, experiencia de comparación de ofertas, documentación producida por especialistas y una metodología formal de evaluación. Ese conocimiento permanecía disponible cuando, meses después, se inició la búsqueda que culminaría con Cardama.</w:t>
      </w:r>
    </w:p>
    <w:p w14:paraId="00000037">
      <w:pPr>
        <w:numPr>
          <w:ilvl w:val="0"/>
          <w:numId w:val="1"/>
        </w:numPr>
        <w:ind w:left="0" w:hanging="566"/>
      </w:pPr>
      <w:r>
        <w:rPr>
          <w:rtl w:val="0"/>
        </w:rPr>
        <w:t>La mayoría concluye que la Compra Directa por Excepción Nº 01/2022 constituye el antecedente inmediato y necesario para valorar el proceso de 2023. No sólo porque perseguía exactamente la misma finalidad, sino porque demuestra que la compra directa por excepción y la competencia no eran conceptos incompatibles: el propio MDN había utilizado esa herramienta jurídica con reglas comunes, concurrencia de oferentes y evaluación técnica especializada. Por ello, la comparación con 2023 debe concentrarse menos en la figura jurídica utilizada y más en la calidad, intensidad y trazabilidad de los controles adoptados en cada caso.</w:t>
      </w:r>
    </w:p>
    <w:p w14:paraId="00000038">
      <w:pPr>
        <w:pStyle w:val="2"/>
        <w:spacing w:before="200" w:after="200"/>
        <w:rPr>
          <w:u w:val="single"/>
        </w:rPr>
      </w:pPr>
      <w:bookmarkStart w:id="8" w:name="_heading=h.67lseyik7bvi" w:colFirst="0" w:colLast="0"/>
      <w:bookmarkEnd w:id="8"/>
      <w:r>
        <w:rPr>
          <w:u w:val="single"/>
          <w:rtl w:val="0"/>
        </w:rPr>
        <w:t>IV. TERCERA ETAPA: LA COMPRA DIRECTA A CARDAMA DE 2023</w:t>
      </w:r>
    </w:p>
    <w:p w14:paraId="00000039">
      <w:pPr>
        <w:numPr>
          <w:ilvl w:val="0"/>
          <w:numId w:val="1"/>
        </w:numPr>
        <w:ind w:left="0" w:hanging="566"/>
      </w:pPr>
      <w:r>
        <w:rPr>
          <w:rtl w:val="0"/>
        </w:rPr>
        <w:t>El 31 de mayo de 2023 el entonces Almirante Jorge WILSON remite al Ministro de Defensa Nacional Javier GARCÍA el Oficio COMAR N° 217/31/V/2023 en que eleva “</w:t>
      </w:r>
      <w:r>
        <w:rPr>
          <w:i/>
          <w:iCs/>
          <w:rtl w:val="0"/>
        </w:rPr>
        <w:t>la propuesta de la Armada Nacional respecto a la selección de la oferta de OPV</w:t>
      </w:r>
      <w:r>
        <w:rPr>
          <w:rtl w:val="0"/>
        </w:rPr>
        <w:t>”. Así comienza el Expediente N° 2023-3-1-0000602 (donde se sustancia la compra directa a Cardama). Hasta ese momento no existía un acto administrativo del Ministerio de Defensa Nacional que dispusiera la apertura de un nuevo llamado, fijara reglas de participación o estableciera previamente la metodología de evaluación. Sin embargo, antes del 31 de mayo ya se habían recibido propuestas, mantenido contactos con empresas y realizado análisis internos. En consecuencia, la actividad material de recepción y comparación de ofertas precedió a la formalización del expediente administrativo que luego serviría de fundamento a la contratación.</w:t>
      </w:r>
    </w:p>
    <w:p w14:paraId="0000003A">
      <w:pPr>
        <w:numPr>
          <w:ilvl w:val="0"/>
          <w:numId w:val="1"/>
        </w:numPr>
        <w:spacing w:after="0"/>
        <w:ind w:left="0" w:hanging="566"/>
      </w:pPr>
      <w:r>
        <w:rPr>
          <w:rtl w:val="0"/>
        </w:rPr>
        <w:t>Dicho oficio señala que se recibieron ocho propuestas de astilleros y que “</w:t>
      </w:r>
      <w:r>
        <w:rPr>
          <w:i/>
          <w:iCs/>
          <w:rtl w:val="0"/>
        </w:rPr>
        <w:t>los únicos requisitos que se formularon en esta ocasión fueron: a) Desplazamiento igual o mayor a 1500 toneladas, b) Cubierta de vuelo y hangar para los helicópteros de la Aviación Naval (AB-412)</w:t>
      </w:r>
      <w:r>
        <w:rPr>
          <w:rtl w:val="0"/>
        </w:rPr>
        <w:t>”. Aclara asimismo que “</w:t>
      </w:r>
      <w:r>
        <w:rPr>
          <w:i/>
          <w:iCs/>
          <w:rtl w:val="0"/>
        </w:rPr>
        <w:t>No se utilizó el procedimiento previsto en el proceso anterior para el análisis de las capacidades de cada oferta, por no haberse establecido a los oferentes ninguna consideraciones salvo las mencionadas en el numeral que precede</w:t>
      </w:r>
      <w:r>
        <w:rPr>
          <w:rtl w:val="0"/>
        </w:rPr>
        <w:t>”. El Almirante informa que de las ocho ofertas se eligieron “</w:t>
      </w:r>
      <w:r>
        <w:rPr>
          <w:i/>
          <w:iCs/>
          <w:rtl w:val="0"/>
        </w:rPr>
        <w:t>como las más adecuadas por sus características las que presentaron Cardama, Cotecmar y Kership</w:t>
      </w:r>
      <w:r>
        <w:rPr>
          <w:rtl w:val="0"/>
        </w:rPr>
        <w:t>”; y concluye expresando que “</w:t>
      </w:r>
      <w:r>
        <w:rPr>
          <w:i/>
          <w:iCs/>
          <w:rtl w:val="0"/>
        </w:rPr>
        <w:t>la Armada Nacional recomienda el OPV 87 presentado por el astillero Cardama, solicitando se inicien los contactos para proceder a la discusión del contrato correspondiente</w:t>
      </w:r>
      <w:r>
        <w:rPr>
          <w:rtl w:val="0"/>
        </w:rPr>
        <w:t>”.</w:t>
      </w:r>
    </w:p>
    <w:p w14:paraId="0000003B">
      <w:pPr>
        <w:numPr>
          <w:ilvl w:val="0"/>
          <w:numId w:val="1"/>
        </w:numPr>
        <w:spacing w:after="0"/>
        <w:ind w:left="0" w:hanging="566"/>
      </w:pPr>
      <w:r>
        <w:rPr>
          <w:rtl w:val="0"/>
        </w:rPr>
        <w:t>El origen del procedimiento no fue una decisión de la Administración sino una gestión privada de un intermediario. El propio ex Almirante WILSON lo declaró ante esta Comisión: "</w:t>
      </w:r>
      <w:r>
        <w:rPr>
          <w:i/>
          <w:iCs/>
          <w:rtl w:val="0"/>
        </w:rPr>
        <w:t>El señor capitán de fragata retirado, Moreira, quien era representante de Lürssen, me pidió una audiencia y me dijo que él tenía la posibilidad de presentar la propuesta de un astillero español, muy conveniente. Le dije que presentara la propuesta, porque la directiva del Ministro era conseguir alguna otra opción a la de los barcos noruegos, y de esa manera se le indicó que la presentara en el Ministerio de Defensa</w:t>
      </w:r>
      <w:r>
        <w:rPr>
          <w:rtl w:val="0"/>
        </w:rPr>
        <w:t>" (VT del 27 de abril de 2026, pág. 20). La primera oferta de Francisco Cardama S.A., fechada en Vigo el 12 de abril de 2023 y firmada por Mario Cardama, fue por un monto de €68.000.000 por los dos buques, y llegó a la Armada a partir de esa gestión del intermediario y antes de que existiera un llamado o procedimiento formal de recepción de propuestas: según declaró el Contraalmirante (r) Gustavo MUSSO, entonces Jefe del Estado Mayor General de la Armada, "</w:t>
      </w:r>
      <w:r>
        <w:rPr>
          <w:i/>
          <w:iCs/>
          <w:rtl w:val="0"/>
        </w:rPr>
        <w:t>La primera propuesta de Cardama la recibo yo de manos del comandante, que me expresa que le fue entregada por el ministro o entregada en el Ministerio</w:t>
      </w:r>
      <w:r>
        <w:rPr>
          <w:rtl w:val="0"/>
        </w:rPr>
        <w:t>" (VT del 25 de mayo de 2026, pág. 35); ello ocurrió, conforme se hizo constar en la misma sesión con base en la declaración del propio MUSSO en la investigación administrativa del MDN —cuya sustancia el compareciente confirmó—, "</w:t>
      </w:r>
      <w:r>
        <w:rPr>
          <w:i/>
          <w:iCs/>
          <w:rtl w:val="0"/>
        </w:rPr>
        <w:t>a pesar de que ni la Armada ni el Ministerio de Defensa Nacional habían hecho ningún llamado a efectos de que se presentaran propuestas</w:t>
      </w:r>
      <w:r>
        <w:rPr>
          <w:rtl w:val="0"/>
        </w:rPr>
        <w:t>" (planteo de la senadora Kechichian — VT del 25 de mayo de 2026, págs. 33 y 35).</w:t>
      </w:r>
    </w:p>
    <w:p w14:paraId="0000003C">
      <w:pPr>
        <w:numPr>
          <w:ilvl w:val="0"/>
          <w:numId w:val="1"/>
        </w:numPr>
        <w:spacing w:after="0"/>
        <w:ind w:left="0" w:hanging="566"/>
      </w:pPr>
      <w:r>
        <w:rPr>
          <w:rtl w:val="0"/>
        </w:rPr>
        <w:t>Fue a raíz de la oferta espontánea de Cardama que se resolvió avisar a las otras empresas a efectos de que presentaran ofertas, resolviéndose asimismo reducir sustancialmente las exigencias técnicas que la Comisión Técnica de la Armada había definido para el procedimiento que se había llevado adelante el año anterior: se pasó de más de ochenta requisitos técnicos, muchos de ellos excluyentes, a solamente tres. El ex Almirante WILSON lo reconoció expresamente: "</w:t>
      </w:r>
      <w:r>
        <w:rPr>
          <w:i/>
          <w:iCs/>
          <w:rtl w:val="0"/>
        </w:rPr>
        <w:t>que en este caso no se pedían esos ochenta y pico de ítems, más allá de los cuatro que sí o sí tenía que cumplir</w:t>
      </w:r>
      <w:r>
        <w:rPr>
          <w:rtl w:val="0"/>
        </w:rPr>
        <w:t>" (VT del 27 de abril de 2026, pág. 37). El punto fue calificado de "extraño" por el Contraalmirante (r) Gustavo MUSSO, quien explicó con precisión técnica el efecto de esa decisión: "</w:t>
      </w:r>
      <w:r>
        <w:rPr>
          <w:i/>
          <w:iCs/>
          <w:rtl w:val="0"/>
        </w:rPr>
        <w:t>lo extraño es que se le indican solamente tres parámetros. Si uno usara esos tres parámetros puede terminar recibiendo un OPV o no. ¿Por qué? Porque al hacerlo de esa manera queda a criterio del astillero qué es lo que me va a suministrar. […] Velocidad, autonomía, resistencia a la mar, dotación, potencia; eso tengo que dárselo. Son requisitos básicos que debe tener el constructor</w:t>
      </w:r>
      <w:r>
        <w:rPr>
          <w:rtl w:val="0"/>
        </w:rPr>
        <w:t>" (VT del 25 de mayo de 2026, pág. 36). Y agregó un elemento decisivo: "</w:t>
      </w:r>
      <w:r>
        <w:rPr>
          <w:i/>
          <w:iCs/>
          <w:rtl w:val="0"/>
        </w:rPr>
        <w:t>si hay informes respecto a la conveniencia institucional de reducir los requisitos de la primera licitación a tres, no, no lo hay. […] Los demás - ¿por qué se bajaron? -, no le veo ninguna ventaja a la institución</w:t>
      </w:r>
      <w:r>
        <w:rPr>
          <w:rtl w:val="0"/>
        </w:rPr>
        <w:t>" (VT del 25 de mayo de 2026, págs. 37 y 38). La Comisión no identificó ningún informe técnico, jurídico o administrativo que fundamentara esa reducción de las exigencias entre 2022 y 2023.</w:t>
      </w:r>
    </w:p>
    <w:p w14:paraId="0000003D">
      <w:pPr>
        <w:numPr>
          <w:ilvl w:val="0"/>
          <w:numId w:val="1"/>
        </w:numPr>
        <w:spacing w:after="0"/>
        <w:ind w:left="0" w:hanging="566"/>
      </w:pPr>
      <w:r>
        <w:rPr>
          <w:rtl w:val="0"/>
        </w:rPr>
        <w:t>Consultados los miembros de la Comisión Técnica que comparecieron ante la Comisión (CN (CG) DEBALI, CN (CIME) MÁRQUEZ, CN (CG) CASTELLO, CF (CG) GIMER y CC (CG) ROMANO) sobre si habían tenido participación o si habían sido consultados en el proceso de selección de oferentes en el año 2023, del que resultó contratada Cardama, respondieron unánimemente que no fueron consultados ni tuvieron participación alguna en ese proceso (VT del 4 de mayo de 2026, págs. 11 y 12, 15 y 16, 44 y 45, 50 y 51, y 60). Es más: la Comisión Técnica fue formalmente desafectada por resolución del Ministerio de Defensa Nacional de junio de 2023 y sustituida por una nueva comisión con integrantes del Poder Ejecutivo (VT del 4 de mayo de 2026, págs. 11, 12 y 16). De este modo, los oficiales especialistas que habían elaborado las Características Técnicas del Pliego de Condiciones Particulares de la Compra Directa de 2022 y evaluado las ofertas de ese procedimiento quedaron fuera del proceso de selección que culminó con la contratación de Cardama. La única "evaluación" técnica realizada en 2023 fue descrita por el CN CASTELLO en términos que eximen de mayor comentario: "</w:t>
      </w:r>
      <w:r>
        <w:rPr>
          <w:i/>
          <w:iCs/>
          <w:rtl w:val="0"/>
        </w:rPr>
        <w:t>lo único que hice fue una matriz comparativa entre uno y otro, un domingo, en la casa de otro oficial</w:t>
      </w:r>
      <w:r>
        <w:rPr>
          <w:rtl w:val="0"/>
        </w:rPr>
        <w:t>" (VT del 4 de mayo de 2026, págs. 44 y 45).</w:t>
      </w:r>
    </w:p>
    <w:p w14:paraId="0000003E">
      <w:pPr>
        <w:numPr>
          <w:ilvl w:val="0"/>
          <w:numId w:val="1"/>
        </w:numPr>
        <w:spacing w:after="0"/>
        <w:ind w:left="0" w:hanging="566"/>
      </w:pPr>
      <w:r>
        <w:rPr>
          <w:rtl w:val="0"/>
        </w:rPr>
        <w:t>La selección de Cardama por parte de la Armada se dio en el ámbito de la Junta de Oficiales Almirantes, reunida el 26 de mayo de 2023, y derivó en el informe del Almirante WILSON de fecha 31 de mayo de 2023 al que ya se hizo referencia. Sobre esa instancia la Comisión pudo acreditar tres extremos de la mayor gravedad institucional. Primero: la sesión fue puramente verbal y no existe acta ni registro documental alguno de lo actuado ("</w:t>
      </w:r>
      <w:r>
        <w:rPr>
          <w:i/>
          <w:iCs/>
          <w:rtl w:val="0"/>
        </w:rPr>
        <w:t>Esa sesión no tiene un acta. No hay documentos en los cuales se plantee quién prefiere qué o por qué</w:t>
      </w:r>
      <w:r>
        <w:rPr>
          <w:rtl w:val="0"/>
        </w:rPr>
        <w:t>", declaró MUSSO — VT del 25 de mayo de 2026, pág. 44). Segundo: la opción Cardama no obtuvo el respaldo de la mayoría de los almirantes. Según reveló ante la Comisión el Contraalmirante (r) Mario VIZCAY, la votación completa fue la siguiente: "</w:t>
      </w:r>
      <w:r>
        <w:rPr>
          <w:i/>
          <w:iCs/>
          <w:rtl w:val="0"/>
        </w:rPr>
        <w:t>El almirante Magliocca votó, en primer lugar, a Cardama, y en segundo, a Cotecmar. De Souza, primero a Cotecmar y, segundo, a Kership. Luciani, primero a Kership y, segundo, a Cotecmar. Vizcay, votó a Cotecmar y a Kership. Elizondo, a Cardama y a Cotecmar. Musso, a Gondan y Cotecmar. El señor comandante votó a Cardama y a Cotecmar</w:t>
      </w:r>
      <w:r>
        <w:rPr>
          <w:rtl w:val="0"/>
        </w:rPr>
        <w:t>" (VT del 8 de junio de 2026, pág. 11). Es decir, solo tres de siete integrantes (WILSON, MAGLIOCCA y ELIZONDO) se pronunciaron por Cardama, mientras que la opción Cotecmar reunió seis menciones. El Contraalmirante (r) Gustavo LUCIANI lo sintetizó: "</w:t>
      </w:r>
      <w:r>
        <w:rPr>
          <w:i/>
          <w:iCs/>
          <w:rtl w:val="0"/>
        </w:rPr>
        <w:t>si usted me pregunta técnicamente, los más experientes no votamos a Cardama</w:t>
      </w:r>
      <w:r>
        <w:rPr>
          <w:rtl w:val="0"/>
        </w:rPr>
        <w:t>" (VT del 1° de junio de 2026, pág. 73). Tercero: el propio WILSON asumió que la Junta era meramente asesora y que la decisión fue personal: "</w:t>
      </w:r>
      <w:r>
        <w:rPr>
          <w:i/>
          <w:iCs/>
          <w:rtl w:val="0"/>
        </w:rPr>
        <w:t>Tomé en cuenta las opiniones, pero la decisión final me correspondía a mí, y por eso decidí Cardama</w:t>
      </w:r>
      <w:r>
        <w:rPr>
          <w:rtl w:val="0"/>
        </w:rPr>
        <w:t>"; "</w:t>
      </w:r>
      <w:r>
        <w:rPr>
          <w:i/>
          <w:iCs/>
          <w:rtl w:val="0"/>
        </w:rPr>
        <w:t>En este caso, coincidí con la minoría mayor dentro de esa Junta de Almirantes</w:t>
      </w:r>
      <w:r>
        <w:rPr>
          <w:rtl w:val="0"/>
        </w:rPr>
        <w:t>" (VT del 27 de abril de 2026, págs. 22 y 36).</w:t>
      </w:r>
    </w:p>
    <w:p w14:paraId="0000003F">
      <w:pPr>
        <w:numPr>
          <w:ilvl w:val="0"/>
          <w:numId w:val="1"/>
        </w:numPr>
        <w:spacing w:after="0"/>
        <w:ind w:left="0" w:hanging="566"/>
      </w:pPr>
      <w:r>
        <w:rPr>
          <w:rtl w:val="0"/>
        </w:rPr>
        <w:t>Los integrantes de la Junta decidieron, además, en condiciones que limitaban seriamente la posibilidad de realizar un análisis técnico suficiente: recibieron la información de las ocho propuestas apenas una semana antes ("</w:t>
      </w:r>
      <w:r>
        <w:rPr>
          <w:i/>
          <w:iCs/>
          <w:rtl w:val="0"/>
        </w:rPr>
        <w:t>El día 19 de mayo fueron comunicadas por Comar las propuestas para tener una reunión el día 26</w:t>
      </w:r>
      <w:r>
        <w:rPr>
          <w:rtl w:val="0"/>
        </w:rPr>
        <w:t>" — VIZCAY, VT del 8 de junio de 2026, pág. 13), sin planos ("</w:t>
      </w:r>
      <w:r>
        <w:rPr>
          <w:i/>
          <w:iCs/>
          <w:rtl w:val="0"/>
        </w:rPr>
        <w:t>Nunca vimos los planos nosotros; yo nunca los vi. […] Ninguna propuesta trajo planos</w:t>
      </w:r>
      <w:r>
        <w:rPr>
          <w:rtl w:val="0"/>
        </w:rPr>
        <w:t>" — VIZCAY, VT del 8 de junio de 2026, pág. 20), sin apoyo técnico de sus reparticiones ("</w:t>
      </w:r>
      <w:r>
        <w:rPr>
          <w:i/>
          <w:iCs/>
          <w:rtl w:val="0"/>
        </w:rPr>
        <w:t>leí la información de todos los astilleros, hice un estudio y no participó ningún otro oficial</w:t>
      </w:r>
      <w:r>
        <w:rPr>
          <w:rtl w:val="0"/>
        </w:rPr>
        <w:t>" — MAGLIOCCA, VT del 1° de junio de 2026, pág. 12) y, en el caso del Director General de Material Naval, habiendo asumido el cargo dieciocho días antes de la reunión (VT del 1° de junio de 2026, pág. 12). El voto por escrito que el Contraalmirante VIZCAY entregó personalmente al Comandante en Jefe tampoco consta en los expedientes remitidos a esta Comisión (VT del 8 de junio de 2026, págs. 12 y 13).</w:t>
      </w:r>
    </w:p>
    <w:p w14:paraId="00000040">
      <w:pPr>
        <w:numPr>
          <w:ilvl w:val="0"/>
          <w:numId w:val="1"/>
        </w:numPr>
        <w:spacing w:after="0"/>
        <w:ind w:left="0" w:hanging="566"/>
      </w:pPr>
      <w:r>
        <w:rPr>
          <w:rtl w:val="0"/>
        </w:rPr>
        <w:t>El informe del Jefe del Estado Mayor General de la Armada, Contraalmirante MUSSO (C/S ESMAY N° 115/31/5/2023, "Criterios para selección de OPV"), contrario a la contratación de Cardama, no fue considerado: el ex Almirante WILSON declaró que lo tomó "</w:t>
      </w:r>
      <w:r>
        <w:rPr>
          <w:i/>
          <w:iCs/>
          <w:rtl w:val="0"/>
        </w:rPr>
        <w:t>como una excusa para su pase a retiro</w:t>
      </w:r>
      <w:r>
        <w:rPr>
          <w:rtl w:val="0"/>
        </w:rPr>
        <w:t>" y que estaba "</w:t>
      </w:r>
      <w:r>
        <w:rPr>
          <w:i/>
          <w:iCs/>
          <w:rtl w:val="0"/>
        </w:rPr>
        <w:t>direccionado</w:t>
      </w:r>
      <w:r>
        <w:rPr>
          <w:rtl w:val="0"/>
        </w:rPr>
        <w:t xml:space="preserve">" (VT del 27 de abril de 2026, pág. 23), sin que en su declaración controvirtiera específicamente el contenido técnico del informe, que se analizará en el capítulo 4 del presente informe. </w:t>
      </w:r>
    </w:p>
    <w:p w14:paraId="00000041">
      <w:pPr>
        <w:numPr>
          <w:ilvl w:val="0"/>
          <w:numId w:val="1"/>
        </w:numPr>
        <w:spacing w:after="0"/>
        <w:ind w:left="0" w:hanging="566"/>
      </w:pPr>
      <w:r>
        <w:rPr>
          <w:rtl w:val="0"/>
        </w:rPr>
        <w:t xml:space="preserve">Por Resolución-MDN N° 81.221 del 22 de junio de 2023 el Ministro de Defensa Nacional resolvió conformar una Comisión Asesora a efectos de informar sobre las propuestas recibidas (Expediente N° 2023-3-1-0000602, fs. 41). </w:t>
      </w:r>
    </w:p>
    <w:p w14:paraId="00000042">
      <w:pPr>
        <w:numPr>
          <w:ilvl w:val="0"/>
          <w:numId w:val="1"/>
        </w:numPr>
        <w:spacing w:after="240"/>
        <w:ind w:left="0" w:hanging="566"/>
      </w:pPr>
      <w:r>
        <w:rPr>
          <w:rtl w:val="0"/>
        </w:rPr>
        <w:t>Con fecha 22 de junio de 2023, el entonces Almirante WILSON respondió al Oficio Nº 38/Sec.Mtro/023, de 20 de junio de 2023 —que no luce agregado al expediente—, dirigiéndose al Director General de Secretaría, Dr. Fabián MARTÍNEZ, “</w:t>
      </w:r>
      <w:r>
        <w:rPr>
          <w:i/>
          <w:iCs/>
          <w:rtl w:val="0"/>
        </w:rPr>
        <w:t>a efectos de informar al respecto de la oferta técnica presentada por Cardama</w:t>
      </w:r>
      <w:r>
        <w:rPr>
          <w:rtl w:val="0"/>
        </w:rPr>
        <w:t>”. En esa comunicación dejó constancia de un hecho especialmente relevante: “</w:t>
      </w:r>
      <w:r>
        <w:rPr>
          <w:i/>
          <w:iCs/>
          <w:rtl w:val="0"/>
        </w:rPr>
        <w:t>en la reunión llevada a cabo en el Ministerio de Defensa el día 13 de junio de 2023 con el dueño de la empresa, se contemplaron en la oferta presentada todas las consideraciones requeridas</w:t>
      </w:r>
      <w:r>
        <w:rPr>
          <w:rtl w:val="0"/>
        </w:rPr>
        <w:t>”.</w:t>
      </w:r>
    </w:p>
    <w:p w14:paraId="00000043">
      <w:pPr>
        <w:numPr>
          <w:ilvl w:val="0"/>
          <w:numId w:val="1"/>
        </w:numPr>
        <w:spacing w:after="240"/>
        <w:ind w:left="0" w:hanging="566"/>
      </w:pPr>
      <w:r>
        <w:rPr>
          <w:rtl w:val="0"/>
        </w:rPr>
        <w:t>La reunión existió y tuvo lugar en la sala contigua al despacho del Ministro de Defensa Nacional, con Cardama como única empresa oferente presente. Su realización fue confirmada por varios comparecientes: el ex Almirante WILSON (VT del 27 de abril de 2026, págs. 41 y 42), el Contraalmirante (r) Héctor MAGLIOCCA (VT del 1.º de junio de 2026, págs. 21 y 22) y el Contraalmirante (r) Mario VIZCAY, quien detalló la nómina completa de asistentes: “</w:t>
      </w:r>
      <w:r>
        <w:rPr>
          <w:i/>
          <w:iCs/>
          <w:rtl w:val="0"/>
        </w:rPr>
        <w:t>El subsecretario, el doctor Martínez, el contador Galó, el comandante en jefe, quien les habla, Magliocca, el jefe de gabinete -que era el capitán Da Silva-, el señor Mario Cardama, un asesor -no me acuerdo quién era; vino de España con él-, y Moreira</w:t>
      </w:r>
      <w:r>
        <w:rPr>
          <w:rtl w:val="0"/>
        </w:rPr>
        <w:t>” (VT del 8 de junio de 2026, pág. 13).</w:t>
      </w:r>
    </w:p>
    <w:p w14:paraId="00000044">
      <w:pPr>
        <w:numPr>
          <w:ilvl w:val="0"/>
          <w:numId w:val="1"/>
        </w:numPr>
        <w:spacing w:after="240"/>
        <w:ind w:left="0" w:hanging="566"/>
      </w:pPr>
      <w:r>
        <w:rPr>
          <w:rtl w:val="0"/>
        </w:rPr>
        <w:t>Pero la reunión no terminó con todos sus participantes presentes. En determinado momento, los oficiales de la Armada se retiraron antes de su finalización, por orden del propio Comandante en Jefe. Así lo expresó MAGLIOCCA: “</w:t>
      </w:r>
      <w:r>
        <w:rPr>
          <w:i/>
          <w:iCs/>
          <w:rtl w:val="0"/>
        </w:rPr>
        <w:t>Nosotros no terminamos la reunión, nos retiramos antes</w:t>
      </w:r>
      <w:r>
        <w:rPr>
          <w:rtl w:val="0"/>
        </w:rPr>
        <w:t>” (VT del 1.º de junio de 2026, págs. 22 y 34). A partir de ese momento, la Armada dejó de participar de lo que continuara tratándose en esa instancia, mientras permanecían representantes del Ministerio de Defensa Nacional y de Cardama. VIZCAY, consultado en cuatro oportunidades sobre si los representantes del Ministerio permanecieron reunidos con la empresa luego de la salida de los oficiales, manifestó: “</w:t>
      </w:r>
      <w:r>
        <w:rPr>
          <w:i/>
          <w:iCs/>
          <w:rtl w:val="0"/>
        </w:rPr>
        <w:t>No puedo afirmar que se hayan quedado reunidos o no</w:t>
      </w:r>
      <w:r>
        <w:rPr>
          <w:rtl w:val="0"/>
        </w:rPr>
        <w:t>” (VT del 8 de junio de 2026, pág. 14).</w:t>
      </w:r>
    </w:p>
    <w:p w14:paraId="00000045">
      <w:pPr>
        <w:numPr>
          <w:ilvl w:val="0"/>
          <w:numId w:val="1"/>
        </w:numPr>
        <w:spacing w:after="0"/>
        <w:ind w:left="0" w:hanging="566"/>
      </w:pPr>
      <w:r>
        <w:rPr>
          <w:rtl w:val="0"/>
        </w:rPr>
        <w:t>Según surge de las comunicaciones electrónicas proporcionadas por la Armada Nacional a la Comisión Especial, el 14 de junio de 2023, el día siguiente a la reunión, el Sr. Mario Cardama remitió un correo electrónico dirigido al Almirante WILSON (a la casilla comandandate_jefe@armada.mil.uy, el que fue reenviado también a la casilla comar_gabinete_jefe@armada.mil.uy), informando que “</w:t>
      </w:r>
      <w:r>
        <w:rPr>
          <w:i/>
          <w:iCs/>
          <w:rtl w:val="0"/>
        </w:rPr>
        <w:t>Hemos tomado nota de todos los aporte a las mejoras de la propuesta técnica brindados por ustedes. En ese sentido el departamento de ingeniería Cardama está elaborando la actualización de la propuesta en base a las mejoras aceptadas y las que nos plantearon ayer, estas últimas a saber:</w:t>
      </w:r>
      <w:r>
        <w:rPr>
          <w:rtl w:val="0"/>
        </w:rPr>
        <w:t>”, detallándose quince puntos de mejoras acordadas en aquella reunión. Este documento contradice frontalmente el oficio del Almirante WILSON N° 247/22/6/2023, que solo reconocía observaciones menores pendientes. Confrontado con ambos documentos, el propio Contraalmirante MAGLIOCCA debió admitir: "</w:t>
      </w:r>
      <w:r>
        <w:rPr>
          <w:i/>
          <w:iCs/>
          <w:rtl w:val="0"/>
        </w:rPr>
        <w:t>lo que dice ahí Moreira se contradice con lo que está acá</w:t>
      </w:r>
      <w:r>
        <w:rPr>
          <w:rtl w:val="0"/>
        </w:rPr>
        <w:t>" (VT del 1° de junio de 2026, págs. 35 a 37).</w:t>
      </w:r>
    </w:p>
    <w:p w14:paraId="00000046">
      <w:pPr>
        <w:numPr>
          <w:ilvl w:val="0"/>
          <w:numId w:val="1"/>
        </w:numPr>
        <w:spacing w:after="0"/>
        <w:ind w:left="0" w:hanging="566"/>
      </w:pPr>
      <w:r>
        <w:rPr>
          <w:rtl w:val="0"/>
        </w:rPr>
        <w:t>Con fecha 19 de junio de 2023 Cardama presenta ante el MDN una nueva oferta, que contempla los aspectos resueltos en esa reunión y detallados en el correo electrónico citado. No existió llamado formal a mejora de ofertas ni comunicación a los restantes astilleros: "</w:t>
      </w:r>
      <w:r>
        <w:rPr>
          <w:i/>
          <w:iCs/>
          <w:rtl w:val="0"/>
        </w:rPr>
        <w:t>no hubo llamado a mejora de ofertas; no lo hubo. No hay una comunicación a todos los demás astilleros diciéndoles: 'Hemos elevado nuestros requisitos' […] Por consiguiente, lo que llegó mejorado o la mejora de oferta llegó no sé cómo</w:t>
      </w:r>
      <w:r>
        <w:rPr>
          <w:rtl w:val="0"/>
        </w:rPr>
        <w:t>" (MUSSO — VT del 25 de mayo de 2026, págs. 39 y 40). En el mismo sentido, la Comisión constató que la oferta final del astillero Damen —entregada en tiempo y forma según certificación de la Ayudantía General del Comando de la Armada— no fue considerada (VT del 27 de abril de 2026, págs. 52 y 54).</w:t>
      </w:r>
    </w:p>
    <w:p w14:paraId="00000047">
      <w:pPr>
        <w:numPr>
          <w:ilvl w:val="0"/>
          <w:numId w:val="1"/>
        </w:numPr>
        <w:spacing w:after="0"/>
        <w:ind w:left="0" w:hanging="566"/>
      </w:pPr>
      <w:r>
        <w:rPr>
          <w:rtl w:val="0"/>
        </w:rPr>
        <w:t>El 6 de julio de 2023, la Comisión Asesora elabora su informe, en el que recomienda la contratación de Francisco Cardama S.A. (fs. 117 del Expediente N° 2023-3-1-0000602). La oferta evaluada por la Comisión Asesora no fue, por tanto, la considerada por la Junta de Almirantes en mayo, sino la nueva propuesta presentada por la empresa el 19 de junio, luego de la reunión mantenida el 13 de junio entre representantes de Cardama y autoridades de la Armada y del MDN.</w:t>
      </w:r>
    </w:p>
    <w:p w14:paraId="00000048">
      <w:pPr>
        <w:numPr>
          <w:ilvl w:val="0"/>
          <w:numId w:val="1"/>
        </w:numPr>
        <w:spacing w:after="0"/>
        <w:ind w:left="0" w:hanging="566"/>
      </w:pPr>
      <w:r>
        <w:rPr>
          <w:rtl w:val="0"/>
        </w:rPr>
        <w:t>La evolución del precio de la oferta de Cardama constituye un aspecto relevante que no recibió una explicación suficiente durante la investigación: la primera propuesta (12 de abril de 2023) era por €68.000.000; la contratación final fue por €82.270.000, es decir, más de €14.000.000 adicionales, con reducción de prestaciones (la velocidad máxima pasó de 23 a 21 nudos entre propuestas). Como declaró el Contraalmirante MUSSO: "</w:t>
      </w:r>
      <w:r>
        <w:rPr>
          <w:i/>
          <w:iCs/>
          <w:rtl w:val="0"/>
        </w:rPr>
        <w:t>si uno reduce velocidad, lo que está reduciendo son prestaciones. El beneficiario no es la Armada de Uruguay […] Se beneficia el constructor; desde mi punto de vista, se beneficia el constructor. Aun así, en la propuesta que llega después, con 21 nudos, el barco es más caro</w:t>
      </w:r>
      <w:r>
        <w:rPr>
          <w:rtl w:val="0"/>
        </w:rPr>
        <w:t>" (VT del 25 de mayo de 2026, págs. 36 y 37). Esta constatación contradice la declaración del ex Almirante WILSON ante esta Comisión, según la cual "</w:t>
      </w:r>
      <w:r>
        <w:rPr>
          <w:i/>
          <w:iCs/>
          <w:rtl w:val="0"/>
        </w:rPr>
        <w:t>El precio de la primera vez que presentó hasta el día que se firmó el contrato fue siempre el mismo</w:t>
      </w:r>
      <w:r>
        <w:rPr>
          <w:rtl w:val="0"/>
        </w:rPr>
        <w:t>" (VT del 27 de abril de 2026, pág. 45), contradicción que quedó expresamente asentada por la Presidencia de la Comisión (VT del 25 de mayo de 2026, pág. 37). El propio WILSON graficó la disposición de la empresa a aceptar sucesivas exigencias se le formulara sin alterar el precio: "</w:t>
      </w:r>
      <w:r>
        <w:rPr>
          <w:i/>
          <w:iCs/>
          <w:rtl w:val="0"/>
        </w:rPr>
        <w:t>uno era un niño frente a una juguetería que pedía un juguete más y le decían que sí</w:t>
      </w:r>
      <w:r>
        <w:rPr>
          <w:rtl w:val="0"/>
        </w:rPr>
        <w:t>" (VT del 27 de abril de 2026, pág. 46) — conducta comercial anómala en cualquier negociación genuina, y particularmente en un contrato de esta magnitud.</w:t>
      </w:r>
    </w:p>
    <w:p w14:paraId="00000049">
      <w:pPr>
        <w:numPr>
          <w:ilvl w:val="0"/>
          <w:numId w:val="1"/>
        </w:numPr>
        <w:spacing w:after="0"/>
        <w:ind w:left="0" w:hanging="566"/>
      </w:pPr>
      <w:r>
        <w:rPr>
          <w:rtl w:val="0"/>
        </w:rPr>
        <w:t>La ausencia de todo marco regulatorio del procedimiento fue confirmada por el propio asesor jurídico contratado por el MDN para redactar el contrato. El Dr. José Miguel DELPIAZZO declaró ante esta Comisión que el estudio trabajó "</w:t>
      </w:r>
      <w:r>
        <w:rPr>
          <w:i/>
          <w:iCs/>
          <w:rtl w:val="0"/>
        </w:rPr>
        <w:t>sobre la base de que no teníamos un modelo o pliego al cual ajustarnos, predeterminar o imponer como condiciones previas</w:t>
      </w:r>
      <w:r>
        <w:rPr>
          <w:rtl w:val="0"/>
        </w:rPr>
        <w:t>" y que la negociación contractual tomó como punto de partida el borrador elaborado por la propia empresa Cardama: en la primera reunión de trabajo (3 de octubre de 2023) se le entregó al estudio "</w:t>
      </w:r>
      <w:r>
        <w:rPr>
          <w:i/>
          <w:iCs/>
          <w:rtl w:val="0"/>
        </w:rPr>
        <w:t>el borrador de contrato que pretendía la empresa Cardama, la forma de pago que había propuesto la empresa Cardama y un documento en el que se mencionaba que Moreira iba a ser el interlocutor en Uruguay con el astillero</w:t>
      </w:r>
      <w:r>
        <w:rPr>
          <w:rtl w:val="0"/>
        </w:rPr>
        <w:t>" (VT del 15 de junio de 2026, págs. 9, 11 y 12).</w:t>
      </w:r>
    </w:p>
    <w:p w14:paraId="0000004A">
      <w:pPr>
        <w:numPr>
          <w:ilvl w:val="0"/>
          <w:numId w:val="1"/>
        </w:numPr>
        <w:spacing w:after="0"/>
        <w:ind w:left="0" w:hanging="566"/>
      </w:pPr>
      <w:r>
        <w:rPr>
          <w:rtl w:val="0"/>
        </w:rPr>
        <w:t>La irregularidad del procedimiento no es una conclusión exclusiva de esta Comisión: fue advertida contemporáneamente por la División Jurídica del Tribunal de Cuentas de la República, en informe del 27 de julio de 2023 incorporado a los antecedentes, cuyos términos resultan lapidarios: "</w:t>
      </w:r>
      <w:r>
        <w:rPr>
          <w:i/>
          <w:iCs/>
          <w:rtl w:val="0"/>
        </w:rPr>
        <w:t>Llama poderosamente la atención que con fecha 31 de mayo del 2023 el comandante en jefe de la Armada señale que se recibieron ocho ofertas y dos de intermediarios, dentro de las cuales se encuentra la del astillero Cardama. Sin embargo, su oferta y especificaciones técnicas de la OPV-87 y oferta económica y técnica, se encuentra fechada el 3 y el 19 de junio del 2023</w:t>
      </w:r>
      <w:r>
        <w:rPr>
          <w:rtl w:val="0"/>
        </w:rPr>
        <w:t>"; "</w:t>
      </w:r>
      <w:r>
        <w:rPr>
          <w:i/>
          <w:iCs/>
          <w:rtl w:val="0"/>
        </w:rPr>
        <w:t>Con este obrar se conspiró contra los principios de igualdad, transparencia y buena fe que deben regir todo procedimiento administrativo. En efecto, en el presente procedimiento debieron existir unas bases de condiciones sin errores, precisas, completas, claras y previas a la presentación de ofertas</w:t>
      </w:r>
      <w:r>
        <w:rPr>
          <w:rtl w:val="0"/>
        </w:rPr>
        <w:t>"; "</w:t>
      </w:r>
      <w:r>
        <w:rPr>
          <w:i/>
          <w:iCs/>
          <w:rtl w:val="0"/>
        </w:rPr>
        <w:t>No hay informe alguno agregado que exprese los motivos fundados por los cuales fueron descartadas las ofertas de las intermediarias, ni tampoco cómo se llegó a la selección inicial de tres propuestas […] En efecto, en el oficio Comar 217/31/B/23 del comandante en jefe de la Armada, de fecha 31 de mayo, recomienda el OPV-87 del precedente referido astillero sin fundamentación alguna</w:t>
      </w:r>
      <w:r>
        <w:rPr>
          <w:rtl w:val="0"/>
        </w:rPr>
        <w:t xml:space="preserve">" (VT del 20 de julio de 2026, págs. 87 y 88). </w:t>
      </w:r>
    </w:p>
    <w:p w14:paraId="0000004B">
      <w:pPr>
        <w:numPr>
          <w:ilvl w:val="0"/>
          <w:numId w:val="1"/>
        </w:numPr>
        <w:spacing w:after="0"/>
        <w:ind w:left="0" w:hanging="566"/>
      </w:pPr>
      <w:r>
        <w:rPr>
          <w:rtl w:val="0"/>
        </w:rPr>
        <w:t>A todo lo anterior se agrega que en este segundo procedimiento se excluyó la participación del Ministerio de Economía y Finanzas, que sí había integrado la Comisión Asesora del procedimiento de 2022. Consultado sobre quién resolvió esa exclusión y con qué fundamento, el ex Ministro GARCÍA se limitó a responder que "</w:t>
      </w:r>
      <w:r>
        <w:rPr>
          <w:i/>
          <w:iCs/>
          <w:rtl w:val="0"/>
        </w:rPr>
        <w:t>si ese ministerio no las integró, es porque se consideró que no hacía falta</w:t>
      </w:r>
      <w:r>
        <w:rPr>
          <w:rtl w:val="0"/>
        </w:rPr>
        <w:t>" (VT del 20 de julio de 2026, pág. 78), sin identificar una resolución o fundamento jurídico que respaldara esa decisión.</w:t>
      </w:r>
    </w:p>
    <w:p w14:paraId="0000004C">
      <w:pPr>
        <w:numPr>
          <w:ilvl w:val="0"/>
          <w:numId w:val="1"/>
        </w:numPr>
        <w:spacing w:after="0"/>
        <w:ind w:left="0" w:hanging="566"/>
      </w:pPr>
      <w:r>
        <w:rPr>
          <w:rtl w:val="0"/>
        </w:rPr>
        <w:t>Consultado el ex Ministro Javier GARCÍA sobre el porqué de la decisión de disminuir las exigencias técnicas entre el proceso de 2022 y el proceso de 2023, sobre quién tomó esa decisión, y sobre si esa decisión tenía relación con que el proceso de 2023 había iniciado con la oferta de Cardama, no se obtuvo respuesta alguna: ante las reiteradas preguntas del diputado Garlo, el ex Ministro se limitó a releer la declaración del Almirante WILSON, sin asumir ni explicar la decisión en primera persona (VT del 20 de julio de 2026, págs. 24, 28, 31, 32, 38 y 44). Sin perjuicio de ello, el ex Ministro asumió expresamente ante esta Comisión la responsabilidad política íntegra del procedimiento: "</w:t>
      </w:r>
      <w:r>
        <w:rPr>
          <w:i/>
          <w:iCs/>
          <w:rtl w:val="0"/>
        </w:rPr>
        <w:t>¿Usted quiere saber quién fue el responsable? Fui yo y yo me hago cargo</w:t>
      </w:r>
      <w:r>
        <w:rPr>
          <w:rtl w:val="0"/>
        </w:rPr>
        <w:t>" (VT del 20 de julio de 2026, pág. 83).</w:t>
      </w:r>
    </w:p>
    <w:p w14:paraId="0000004D">
      <w:pPr>
        <w:numPr>
          <w:ilvl w:val="0"/>
          <w:numId w:val="1"/>
        </w:numPr>
        <w:ind w:left="0" w:hanging="566"/>
      </w:pPr>
      <w:r>
        <w:rPr>
          <w:rtl w:val="0"/>
        </w:rPr>
        <w:t xml:space="preserve">Consultado sobre si se presentó alguna impugnación o recurso administrativo contra la resolución de adjudicación de la compra directa, Javier GARCÍA respondió que </w:t>
      </w:r>
      <w:r>
        <w:rPr>
          <w:i/>
          <w:iCs/>
          <w:rtl w:val="0"/>
        </w:rPr>
        <w:t xml:space="preserve">"No existió ningún recurso administrativo" </w:t>
      </w:r>
      <w:r>
        <w:rPr>
          <w:rtl w:val="0"/>
        </w:rPr>
        <w:t>(VT del 20 de julio de 2026, págs. 50 y 51). Esta respuesta, si bien confirmó el hecho, omitió señalar la razón estructural por la que ello fue así: al tratarse de una adjudicación directa realizada sin publicidad, ninguna empresa competidora pudo conocer la decisión en tiempo y forma para ejercer su derecho de impugnación. La ausencia de recurso no fue una opción, sino una consecuencia de las características del procedimiento.</w:t>
      </w:r>
    </w:p>
    <w:p w14:paraId="0000004E">
      <w:pPr>
        <w:pStyle w:val="3"/>
        <w:keepNext w:val="0"/>
        <w:keepLines w:val="0"/>
        <w:rPr>
          <w:u w:val="none"/>
        </w:rPr>
      </w:pPr>
      <w:bookmarkStart w:id="9" w:name="_heading=h.ln9uaui35a1s" w:colFirst="0" w:colLast="0"/>
      <w:bookmarkEnd w:id="9"/>
      <w:r>
        <w:rPr>
          <w:u w:val="none"/>
          <w:rtl w:val="0"/>
        </w:rPr>
        <w:t>A. SOBRE LA FALTA DE EXPERIENCIA DEL ASTILLERO CARDAMA</w:t>
      </w:r>
    </w:p>
    <w:p w14:paraId="0000004F">
      <w:pPr>
        <w:numPr>
          <w:ilvl w:val="0"/>
          <w:numId w:val="1"/>
        </w:numPr>
        <w:ind w:left="0" w:hanging="566"/>
      </w:pPr>
      <w:r>
        <w:rPr>
          <w:rtl w:val="0"/>
        </w:rPr>
        <w:t>La Comisión ha acreditado que el astillero Francisco Cardama S.A. no tenía experiencia previa en la construcción de buques del tipo contratado, extremo que era conocido —o debía serlo— por quienes decidieron la contratación. El propio ex Ministro GARCÍA lo admitió ante esta Comisión: "</w:t>
      </w:r>
      <w:r>
        <w:rPr>
          <w:i/>
          <w:iCs/>
          <w:rtl w:val="0"/>
        </w:rPr>
        <w:t>Con respecto a si carecía de experiencia en esto, OPV no había construido. No estoy revelando nada, es así</w:t>
      </w:r>
      <w:r>
        <w:rPr>
          <w:rtl w:val="0"/>
        </w:rPr>
        <w:t>" (VT del 20 de julio de 2026, pág. 52). En idéntico sentido, el ex Almirante WILSON: "</w:t>
      </w:r>
      <w:r>
        <w:rPr>
          <w:i/>
          <w:iCs/>
          <w:rtl w:val="0"/>
        </w:rPr>
        <w:t>Este astillero no había construido ninguna OPV. […] Había construido buques más bien de tenor mercante</w:t>
      </w:r>
      <w:r>
        <w:rPr>
          <w:rtl w:val="0"/>
        </w:rPr>
        <w:t>" (VT del 27 de abril de 2026, págs. 40 y 46).</w:t>
      </w:r>
    </w:p>
    <w:p w14:paraId="00000050">
      <w:pPr>
        <w:numPr>
          <w:ilvl w:val="0"/>
          <w:numId w:val="1"/>
        </w:numPr>
        <w:spacing w:after="0"/>
        <w:ind w:left="0" w:hanging="566"/>
      </w:pPr>
      <w:r>
        <w:rPr>
          <w:rtl w:val="0"/>
        </w:rPr>
        <w:t>El Contraalmirante MUSSO, Jefe del Estado Mayor General de la Armada al momento de la selección, aportó a la Comisión el resultado de sus verificaciones en fuentes oficiales del Reino de España: "</w:t>
      </w:r>
      <w:r>
        <w:rPr>
          <w:i/>
          <w:iCs/>
          <w:rtl w:val="0"/>
        </w:rPr>
        <w:t>ingresé en la página del Ministerio de Industria de España, en donde figuran trimestralmente, año a año, los buques construidos, los contratos que tiene cada astillero, los buques botados. […] Cardama no tenía antecedentes de construcción naval en ningún buque similar a una OPV. Tampoco figuraba ningún antecedente de construcción naval de dimensiones o tonelaje similar. Y tampoco figuraba ningún otro contrato vinculado a buques de este tamaño o tecnología</w:t>
      </w:r>
      <w:r>
        <w:rPr>
          <w:rtl w:val="0"/>
        </w:rPr>
        <w:t>" (VT del 25 de mayo de 2026, págs. 20 y 21). Agregó que el astillero no figuraba en el Catálogo de la Industria Española de Defensa del año 2023 (VT del 25 de mayo de 2026, pág. 47) y que mantenía en sus instalaciones dos buques construidos y sin entregar desde hacía diez y once años, incluido un remolcador de 50 metros para Angola: "</w:t>
      </w:r>
      <w:r>
        <w:rPr>
          <w:i/>
          <w:iCs/>
          <w:rtl w:val="0"/>
        </w:rPr>
        <w:t>Si un barco de 50 m, un remolcador de 50 m para Angola, al día de hoy lleva diez años para poder ser entregado, no quiero poner en ese riesgo a la Armada</w:t>
      </w:r>
      <w:r>
        <w:rPr>
          <w:rtl w:val="0"/>
        </w:rPr>
        <w:t>" (VT del 25 de mayo de 2026, págs. 21 y 22). Su conclusión fue terminante: "</w:t>
      </w:r>
      <w:r>
        <w:rPr>
          <w:i/>
          <w:iCs/>
          <w:rtl w:val="0"/>
        </w:rPr>
        <w:t>en lo que respecta a construcción, le voy adelantando: no es fiable. Diez años para un barco de 50 m, cuando supuestamente el OPV, que mide 87 m, se tenía que hacer en dieciocho meses y el promedio a nivel de Sudamérica, Asia y Europa de un OPV es entre veinticuatro y treinta meses</w:t>
      </w:r>
      <w:r>
        <w:rPr>
          <w:rtl w:val="0"/>
        </w:rPr>
        <w:t>" (VT del 25 de mayo de 2026, pág. 48). Esta valoración coincide con lo declarado por el ex Almirante ALONSO respecto del conocimiento previo que la Armada tenía del astillero: "</w:t>
      </w:r>
      <w:r>
        <w:rPr>
          <w:i/>
          <w:iCs/>
          <w:rtl w:val="0"/>
        </w:rPr>
        <w:t>ellos tenían un buque, un clavo, que habían construido […] que hacía años que lo tenían ahí, a medio camino, y que no lo podían entregar; de hecho, todavía lo tienen por allí</w:t>
      </w:r>
      <w:r>
        <w:rPr>
          <w:rtl w:val="0"/>
        </w:rPr>
        <w:t>" (VT del 6 de abril de 2026, págs. 22 y 23).</w:t>
      </w:r>
    </w:p>
    <w:p w14:paraId="00000051">
      <w:pPr>
        <w:numPr>
          <w:ilvl w:val="0"/>
          <w:numId w:val="1"/>
        </w:numPr>
        <w:spacing w:after="0"/>
        <w:ind w:left="0" w:hanging="566"/>
      </w:pPr>
      <w:r>
        <w:rPr>
          <w:rtl w:val="0"/>
        </w:rPr>
        <w:t>El buque ofrecido, además, no existía: se trataba de un diseño de la empresa de ingeniería Cintranaval jamás construido por Cardama. El propio WILSON lo reconoció: "</w:t>
      </w:r>
      <w:r>
        <w:rPr>
          <w:i/>
          <w:iCs/>
          <w:rtl w:val="0"/>
        </w:rPr>
        <w:t>No hay ningún barco exactamente con las características que fue presentado por Cintranaval a través de Gondán y a través de Cardama. Lo más parecido es una embarcación de patrulla de Kenia […] es más corta, de menor desplazamiento, no tiene cubierta de vuelo</w:t>
      </w:r>
      <w:r>
        <w:rPr>
          <w:rtl w:val="0"/>
        </w:rPr>
        <w:t>" (VT del 27 de abril de 2026, pág. 32). La contratación recaía, por tanto, sobre un diseño no construido previamente por Cardama y sobre un astillero que tampoco tenía experiencia anterior en la construcción de OPV, apartándose de los criterios de prudencia que la Armada había sostenido durante más de una década. El Contraalmirante MAGLIOCCA confirmó ante la Comisión que en las condiciones enviadas a los oferentes en 2023 "</w:t>
      </w:r>
      <w:r>
        <w:rPr>
          <w:i/>
          <w:iCs/>
          <w:rtl w:val="0"/>
        </w:rPr>
        <w:t>no figuraba que tenía que contar con experiencia previa en la construcción de un buque tipo OPV. No era este un aspecto que nosotros tuviéramos que considerar ni como excluyente ni como deseable</w:t>
      </w:r>
      <w:r>
        <w:rPr>
          <w:rtl w:val="0"/>
        </w:rPr>
        <w:t>" (VT del 1° de junio de 2026, pág. 54).</w:t>
      </w:r>
    </w:p>
    <w:p w14:paraId="00000052">
      <w:pPr>
        <w:numPr>
          <w:ilvl w:val="0"/>
          <w:numId w:val="1"/>
        </w:numPr>
        <w:spacing w:before="240" w:after="240"/>
        <w:ind w:left="0" w:hanging="566"/>
      </w:pPr>
      <w:r>
        <w:rPr>
          <w:rtl w:val="0"/>
        </w:rPr>
        <w:t>Durante la negociación del contrato, las advertencias internas sobre las capacidades de Cardama ya se habían manifestado en otros aspectos. Con fecha 1° de agosto de 2023 el Contraalmirante MAGLIOCCA remitió un oficio al Almirante WILSON en los siguientes términos: “</w:t>
      </w:r>
      <w:r>
        <w:rPr>
          <w:i/>
          <w:iCs/>
          <w:rtl w:val="0"/>
        </w:rPr>
        <w:t>Me dirijo a Ud., y a efectos de dar mayor transparencia y claridad al proyecto OPV's, a fin de solicitar que el Astillero CARDAMA a la brevedad posible, reafirme y explique de manera oficial y detallada sus capacidades logísticas, de personal, técnicas y económicas para llevar adelante el proyecto ofertado</w:t>
      </w:r>
      <w:r>
        <w:rPr>
          <w:rtl w:val="0"/>
        </w:rPr>
        <w:t>”. Según declaró MAGLIOCCA, dicho oficio nunca fue contestado, y desconoce si Cardama brindó jamás esa información (VT del 1</w:t>
      </w:r>
      <w:r>
        <w:rPr>
          <w:u w:val="single"/>
          <w:rtl w:val="0"/>
        </w:rPr>
        <w:t>°</w:t>
      </w:r>
      <w:r>
        <w:rPr>
          <w:rtl w:val="0"/>
        </w:rPr>
        <w:t xml:space="preserve"> de junio de 2026, págs. 58 y 59). Asimismo, la sociedad de control independiente ("surveyor") cuya contratación solicitó el propio MAGLIOCCA para supervisar la construcción en paralelo a la sociedad clasificadora "</w:t>
      </w:r>
      <w:r>
        <w:rPr>
          <w:i/>
          <w:iCs/>
          <w:rtl w:val="0"/>
        </w:rPr>
        <w:t>no se contrató, para nada</w:t>
      </w:r>
      <w:r>
        <w:rPr>
          <w:rtl w:val="0"/>
        </w:rPr>
        <w:t xml:space="preserve">" (VT del 1° de junio de 2026, pág. 61). </w:t>
      </w:r>
    </w:p>
    <w:p w14:paraId="00000053">
      <w:pPr>
        <w:numPr>
          <w:ilvl w:val="0"/>
          <w:numId w:val="1"/>
        </w:numPr>
        <w:spacing w:before="0" w:after="240"/>
        <w:ind w:left="0" w:hanging="566"/>
      </w:pPr>
      <w:r>
        <w:rPr>
          <w:rtl w:val="0"/>
        </w:rPr>
        <w:t xml:space="preserve">Las dudas sobre la capacidad del astillero se reforzaron con otro hecho admitido por el propio WILSON: en la reunión del 13 de junio de 2023, el señor Mario Cardama reconoció ante las autoridades uruguayas que su astillero no contaba con la habilitación para instalar armamento. En palabras del propio WILSON: </w:t>
      </w:r>
      <w:r>
        <w:rPr>
          <w:i/>
          <w:iCs/>
          <w:rtl w:val="0"/>
        </w:rPr>
        <w:t>“La instalación de armas, sí; en esa reunión que me planteó el diputado, que se llevó a cabo en el Ministerio, este señor mencionó que él no tenía la habilitación. “</w:t>
      </w:r>
      <w:r>
        <w:rPr>
          <w:rtl w:val="0"/>
        </w:rPr>
        <w:t>(VT del 27 de abril de 2026, pág. 37). De este modo, antes de la firma y posterior entrada en vigor del contrato ya coexistían diversos elementos que exigían una especial cautela por parte de la Administración: la empresa no tenía experiencia previa en la construcción de OPV, existían dudas internas sobre sus capacidades técnicas, logísticas y económicas, no se había acreditado una evaluación integral de su solvencia económico-financiera y tampoco contaba, en ese momento, con habilitación para instalar armamento. Los hechos posteriores —la imposibilidad de constituir garantías durante once meses, la presentación de documentación falsificada, la falta de financiamiento para los motores y la paralización de la obra— deben ser considerados en relación con ese conjunto de advertencias y antecedentes, varios de los cuales habían sido expresamente puestos en conocimiento de las autoridades antes de que el contrato comenzara a ejecutarse.</w:t>
      </w:r>
    </w:p>
    <w:p w14:paraId="00000054">
      <w:pPr>
        <w:pStyle w:val="2"/>
        <w:spacing w:before="200" w:after="200"/>
        <w:rPr>
          <w:u w:val="single"/>
        </w:rPr>
      </w:pPr>
      <w:bookmarkStart w:id="10" w:name="_heading=h.421y8bkts6yl" w:colFirst="0" w:colLast="0"/>
      <w:bookmarkEnd w:id="10"/>
      <w:r>
        <w:rPr>
          <w:u w:val="single"/>
          <w:rtl w:val="0"/>
        </w:rPr>
        <w:t>V. CUARTA ETAPA: PROCESO DE GARANTÍAS, EJECUCIÓN DEL CONTRATO, DOCUMENTACIÓN FALSIFICADA, PAGOS Y RESCISIÓN</w:t>
      </w:r>
    </w:p>
    <w:p w14:paraId="00000055">
      <w:pPr>
        <w:pStyle w:val="3"/>
        <w:rPr>
          <w:u w:val="none"/>
        </w:rPr>
      </w:pPr>
      <w:bookmarkStart w:id="11" w:name="_heading=h.nzb0hbxyyjjw" w:colFirst="0" w:colLast="0"/>
      <w:bookmarkEnd w:id="11"/>
      <w:r>
        <w:rPr>
          <w:u w:val="none"/>
          <w:rtl w:val="0"/>
        </w:rPr>
        <w:t>A. OBLIGACIÓN DE CONSTITUIR LAS DOS GARANTÍAS ANTES DE LA ENTRADA EN VIGOR DEL CONTRATO</w:t>
      </w:r>
    </w:p>
    <w:p w14:paraId="00000056">
      <w:pPr>
        <w:numPr>
          <w:ilvl w:val="0"/>
          <w:numId w:val="1"/>
        </w:numPr>
        <w:ind w:left="0" w:hanging="566"/>
      </w:pPr>
      <w:r>
        <w:rPr>
          <w:rtl w:val="0"/>
        </w:rPr>
        <w:t>De conformidad con lo establecido en el Contrato, la constitución y vigencia de la Garantía de Reembolso y de la Garantía de Fiel Cumplimiento constituían un requisito esencial e indispensable tanto para la adecuada protección de los intereses de nuestro país, como para la entrada en vigor del propio Contrato y la ejecución del sistema de pagos por hitos.</w:t>
      </w:r>
    </w:p>
    <w:p w14:paraId="00000057">
      <w:pPr>
        <w:numPr>
          <w:ilvl w:val="0"/>
          <w:numId w:val="1"/>
        </w:numPr>
        <w:ind w:left="0" w:hanging="566"/>
      </w:pPr>
      <w:r>
        <w:rPr>
          <w:rtl w:val="0"/>
        </w:rPr>
        <w:t>El Contrato, en la cláusula 11, estableció que Cardama debía constituir, dentro de los 45 días siguientes a la firma, la Garantía de Reembolso destinada a asegurar el reintegro íntegro del importe correspondiente al primer hito de pago de cada buque, esto es, el 10% del precio de cada buque, totalizando un importe de € 8.227.000. La cláusula 27 obligaba al Astillero a constituir, dentro del mismo plazo, la Garantía de Fiel Cumplimiento, mediante garantía bancaria a primer requerimiento, por un importe equivalente al 5% del valor total del Contrato. Esta garantía debía permanecer vigente durante toda la fase de construcción y hasta doce meses después de la entrega del último buque.</w:t>
      </w:r>
    </w:p>
    <w:p w14:paraId="00000058">
      <w:pPr>
        <w:numPr>
          <w:ilvl w:val="0"/>
          <w:numId w:val="1"/>
        </w:numPr>
        <w:ind w:left="0" w:hanging="566"/>
      </w:pPr>
      <w:r>
        <w:rPr>
          <w:rtl w:val="0"/>
        </w:rPr>
        <w:t>Estas obligaciones no tenían carácter accesorio ni secundario dentro de la estructura contractual. La cláusula 36 configuró expresamente la constitución de ambas garantías como requisito para la entrada en vigor del Contrato, subrayando así su carácter esencial. Este punto había sido objeto, además, de una discusión expresa durante la negociación contractual. Según dejó consignado el Estudio Delpiazzo Abogados en el Memorándum de 20 de diciembre de 2023 entregado a esta Comisión, Cardama propuso inicialmente no constituir una garantía de fiel cumplimiento y, posteriormente, sustituirla por una retención del 5% de cada uno de los pagos. Ambas alternativas fueron descartadas y se mantuvo la exigencia formulada por el MDN de constituir una garantía de fiel cumplimiento por el 5% del valor total del contrato, como condición para su entrada en vigor.</w:t>
      </w:r>
    </w:p>
    <w:p w14:paraId="00000059">
      <w:pPr>
        <w:numPr>
          <w:ilvl w:val="0"/>
          <w:numId w:val="1"/>
        </w:numPr>
        <w:ind w:left="0" w:hanging="566"/>
      </w:pPr>
      <w:r>
        <w:rPr>
          <w:rtl w:val="0"/>
        </w:rPr>
        <w:t xml:space="preserve">La exigencia finalmente incorporada al Contrato fue, por tanto, el resultado de una decisión expresa adoptada durante la negociación y conocida por Cardama antes de su firma. No se trataba de una formalidad sobrevenida ni de una condición cuya relevancia pudiera resultar dudosa para el contratista: Cardama había procurado modificarla y el Estado había decidido mantenerla. A ello se suma que la propia cláusula 36 volvió a establecer que la presentación de la Garantía de Reembolso y de la Garantía de Fiel Cumplimiento integraba las condiciones necesarias para la entrada en vigor del Contrato. </w:t>
      </w:r>
    </w:p>
    <w:p w14:paraId="0000005A">
      <w:pPr>
        <w:pStyle w:val="3"/>
        <w:rPr>
          <w:u w:val="none"/>
        </w:rPr>
      </w:pPr>
      <w:bookmarkStart w:id="12" w:name="_heading=h.gr4x3gchkx4i" w:colFirst="0" w:colLast="0"/>
      <w:bookmarkEnd w:id="12"/>
      <w:r>
        <w:rPr>
          <w:u w:val="none"/>
          <w:rtl w:val="0"/>
        </w:rPr>
        <w:t>B. LAS ACTUACIONES POSTERIORES A LA FIRMA DEL CONTRATO: UN PROLONGADO PROCESO DE REFORMULACIONES SIN RESULTADO VÁLIDO</w:t>
      </w:r>
    </w:p>
    <w:p w14:paraId="0000005B">
      <w:pPr>
        <w:numPr>
          <w:ilvl w:val="0"/>
          <w:numId w:val="1"/>
        </w:numPr>
        <w:shd w:val="clear" w:fill="FFFFFF"/>
        <w:ind w:left="0" w:hanging="566"/>
      </w:pPr>
      <w:r>
        <w:rPr>
          <w:rtl w:val="0"/>
        </w:rPr>
        <w:t>Luego del proceso de negociación llevado adelante por el Ministerio de Defensa Nacional (MDN) con Cardama, con el asesoramiento y seguimiento del Estudio Delpiazzo, el 15 de diciembre de 2023 se suscribió el contrato por un monto total de €82.270.000.</w:t>
      </w:r>
    </w:p>
    <w:p w14:paraId="0000005C">
      <w:pPr>
        <w:numPr>
          <w:ilvl w:val="0"/>
          <w:numId w:val="1"/>
        </w:numPr>
        <w:shd w:val="clear" w:fill="FFFFFF"/>
        <w:spacing w:after="0"/>
        <w:ind w:left="0" w:hanging="566"/>
      </w:pPr>
      <w:r>
        <w:rPr>
          <w:rtl w:val="0"/>
        </w:rPr>
        <w:t>Entre enero y octubre de 2024, Cardama remitió al MDN múltiples borradores y propuestas incompletas de las garantías contractualmente previstas. Esta situación dio lugar a sucesivos procesos de revisión, formulación de observaciones y reformulación de las propuestas, que terminó retrasando sustancialmente el cumplimiento de una obligación esencial del contrato y, consecuentemente, la entrega de los buques.</w:t>
      </w:r>
    </w:p>
    <w:p w14:paraId="0000005D">
      <w:pPr>
        <w:numPr>
          <w:ilvl w:val="0"/>
          <w:numId w:val="1"/>
        </w:numPr>
        <w:shd w:val="clear" w:fill="FFFFFF"/>
        <w:spacing w:after="0"/>
        <w:ind w:left="0" w:hanging="566"/>
      </w:pPr>
      <w:r>
        <w:rPr>
          <w:rtl w:val="0"/>
        </w:rPr>
        <w:t>Durante el análisis realizado en la Comisión han quedado de manifiesto aspectos particularmente graves respecto de la tramitación administrativa de este proceso, entre ellos la ausencia de expediente, de resoluciones debidamente fundadas y de una adecuada motivación de las actuaciones adoptadas. Estas circunstancias no pueden ser consideradas meras irregularidades formales o inocuas, en tanto tienen consecuencias concretas y relevantes sobre la protección de los intereses del Estado.</w:t>
      </w:r>
    </w:p>
    <w:p w14:paraId="0000005E">
      <w:pPr>
        <w:numPr>
          <w:ilvl w:val="0"/>
          <w:numId w:val="1"/>
        </w:numPr>
        <w:shd w:val="clear" w:fill="FFFFFF"/>
        <w:ind w:left="0" w:hanging="566"/>
      </w:pPr>
      <w:r>
        <w:rPr>
          <w:rtl w:val="0"/>
        </w:rPr>
        <w:t>En particular, resulta especialmente preocupante que este proceso haya determinado un retraso de aproximadamente once meses en la entrada en vigencia efectiva del contrato de construcción, cuando el plazo previsto para la primera entrega de los buques es de tan solo dieciocho meses. La magnitud de esta demora, en relación con los plazos contractuales originalmente establecidos, evidencia la relevancia sustantiva de las deficiencias señaladas y obliga a analizar con especial rigor las responsabilidades derivadas de la gestión y el seguimiento de esta contratación.</w:t>
      </w:r>
    </w:p>
    <w:p w14:paraId="0000005F">
      <w:pPr>
        <w:pStyle w:val="3"/>
        <w:shd w:val="clear" w:fill="FFFFFF"/>
        <w:jc w:val="left"/>
        <w:rPr>
          <w:u w:val="none"/>
        </w:rPr>
      </w:pPr>
      <w:bookmarkStart w:id="13" w:name="_heading=h.d04lguqswidi" w:colFirst="0" w:colLast="0"/>
      <w:bookmarkEnd w:id="13"/>
      <w:r>
        <w:rPr>
          <w:u w:val="none"/>
          <w:rtl w:val="0"/>
        </w:rPr>
        <w:t>C. FALTA DE RESOLUCIONES QUE DEN LUGAR A NUEVAS PRÓRROGAS</w:t>
      </w:r>
    </w:p>
    <w:p w14:paraId="00000060">
      <w:pPr>
        <w:numPr>
          <w:ilvl w:val="0"/>
          <w:numId w:val="1"/>
        </w:numPr>
        <w:ind w:left="0" w:hanging="566"/>
      </w:pPr>
      <w:r>
        <w:rPr>
          <w:rtl w:val="0"/>
        </w:rPr>
        <w:t>Si bien Cardama tenía pleno conocimiento, desde antes de la suscripción del contrato, de su obligación de constituir las garantías dentro de los 45 días posteriores a la firma, pocos días antes del vencimiento de dicho plazo el Sr. Mario Cardama dirigió un correo electrónico al entonces Director General de Secretaría del MDN, Dr. Fabián Martínez, solicitando una extensión de 30 días “</w:t>
      </w:r>
      <w:r>
        <w:rPr>
          <w:i/>
          <w:iCs/>
          <w:rtl w:val="0"/>
        </w:rPr>
        <w:t>para presentar las garantías a efectos de hacer efectivo el contrato”</w:t>
      </w:r>
      <w:r>
        <w:rPr>
          <w:rtl w:val="0"/>
        </w:rPr>
        <w:t xml:space="preserve"> (casilla dgs.secretaria@mdn.gub.uy, con copia a dgrrff.director@mdn.gub.uy).</w:t>
      </w:r>
    </w:p>
    <w:p w14:paraId="00000061">
      <w:pPr>
        <w:numPr>
          <w:ilvl w:val="0"/>
          <w:numId w:val="1"/>
        </w:numPr>
        <w:spacing w:after="0"/>
        <w:ind w:left="0" w:hanging="566"/>
      </w:pPr>
      <w:r>
        <w:rPr>
          <w:rtl w:val="0"/>
        </w:rPr>
        <w:t>En respuesta a dicha solicitud, con fecha 1º de febrero de 2024, el entonces Ministro de Defensa Nacional, Javier García, comunicó a la empresa que se accedía a la prórroga solicitada. No obstante, dejó expresamente establecido que, “</w:t>
      </w:r>
      <w:r>
        <w:rPr>
          <w:i/>
          <w:iCs/>
          <w:rtl w:val="0"/>
        </w:rPr>
        <w:t>sin perjuicio de la referida extensión acordada</w:t>
      </w:r>
      <w:r>
        <w:rPr>
          <w:rtl w:val="0"/>
        </w:rPr>
        <w:t>”, Cardama debía realizar los máximos esfuerzos y diligencias para constituir las garantías en el menor tiempo posible y mantener informado al MDN sobre los avances, teniendo especialmente en consideración la trascendencia de los plazos contractuales y la necesidad de coordinar las instancias previstas para la entrada en vigor del contrato.</w:t>
      </w:r>
    </w:p>
    <w:p w14:paraId="00000062">
      <w:pPr>
        <w:numPr>
          <w:ilvl w:val="0"/>
          <w:numId w:val="1"/>
        </w:numPr>
        <w:spacing w:after="0"/>
        <w:ind w:left="0" w:hanging="566"/>
      </w:pPr>
      <w:r>
        <w:rPr>
          <w:rtl w:val="0"/>
        </w:rPr>
        <w:t>Sin embargo, el 28 de febrero de 2024, antes de que venciera la primera prórroga concedida, el Sr. Mario Cardama volvió a solicitar una extensión del plazo, esta vez “</w:t>
      </w:r>
      <w:r>
        <w:rPr>
          <w:i/>
          <w:iCs/>
          <w:rtl w:val="0"/>
        </w:rPr>
        <w:t xml:space="preserve">para terminar el proceso administrativo de la emisión de las mismas </w:t>
      </w:r>
      <w:r>
        <w:rPr>
          <w:rtl w:val="0"/>
        </w:rPr>
        <w:t>[las garantías]</w:t>
      </w:r>
      <w:r>
        <w:rPr>
          <w:i/>
          <w:iCs/>
          <w:rtl w:val="0"/>
        </w:rPr>
        <w:t>”</w:t>
      </w:r>
      <w:r>
        <w:rPr>
          <w:rtl w:val="0"/>
        </w:rPr>
        <w:t>. El pedido fue remitido por correo electrónico a las casillas del Ministro de Defensa Nacional y de la Dirección General de Secretaría, incluyendo además una casilla personal de Gmail del entonces Director General de Secretaría, Dr. Fabián Martínez.</w:t>
      </w:r>
    </w:p>
    <w:p w14:paraId="00000063">
      <w:pPr>
        <w:numPr>
          <w:ilvl w:val="0"/>
          <w:numId w:val="1"/>
        </w:numPr>
        <w:spacing w:after="0"/>
        <w:ind w:left="0" w:hanging="566"/>
      </w:pPr>
      <w:r>
        <w:rPr>
          <w:rtl w:val="0"/>
        </w:rPr>
        <w:t xml:space="preserve">Esta segunda solicitud fue respondida el 4 de marzo de 2024 por el entonces Ministro de Defensa Nacional, Armando Castaingdebat, quien había asumido el cargo a raíz de la renuncia de Javier García. En esa oportunidad, se concedió un plazo adicional de 10 días corridos, hasta el 9 de marzo, dejando expresamente establecido que </w:t>
      </w:r>
      <w:r>
        <w:rPr>
          <w:i/>
          <w:iCs/>
          <w:rtl w:val="0"/>
        </w:rPr>
        <w:t>“no se habilitarán nuevas prórrogas</w:t>
      </w:r>
      <w:r>
        <w:rPr>
          <w:rtl w:val="0"/>
        </w:rPr>
        <w:t>”, en atención a la trascendencia de los plazos contractuales, cuyo cómputo se iniciaba a partir de la “Entrada en vigor”, ya dilatada en dos oportunidades.</w:t>
      </w:r>
    </w:p>
    <w:p w14:paraId="00000064">
      <w:pPr>
        <w:numPr>
          <w:ilvl w:val="0"/>
          <w:numId w:val="1"/>
        </w:numPr>
        <w:spacing w:after="0"/>
        <w:ind w:left="0" w:hanging="566"/>
      </w:pPr>
      <w:r>
        <w:rPr>
          <w:rtl w:val="0"/>
        </w:rPr>
        <w:t xml:space="preserve">Como surge de la documentación y de las declaraciones de los ex Ministros de Defensa Nacional, y del ex Director General de Servicios Administrativos del MDN, esta sería las únicas prórrogas documentadas y motivadas, que encontraremos en el largo proceso de 11 meses de constitución. </w:t>
      </w:r>
    </w:p>
    <w:p w14:paraId="00000065">
      <w:pPr>
        <w:numPr>
          <w:ilvl w:val="0"/>
          <w:numId w:val="1"/>
        </w:numPr>
        <w:spacing w:after="0"/>
        <w:ind w:left="0" w:hanging="566"/>
      </w:pPr>
      <w:r>
        <w:rPr>
          <w:rtl w:val="0"/>
        </w:rPr>
        <w:t>El propio estudio DELPIAZZO, consultado en la comisión sobre el otorgamiento de las prórrogas respondió que las primera dos prórrogas fueron “de buena administración”, pero el plazo de 72 horas (decisión sobre la que aclara no fueron consultados) entiende que “</w:t>
      </w:r>
      <w:r>
        <w:rPr>
          <w:i/>
          <w:iCs/>
          <w:rtl w:val="0"/>
        </w:rPr>
        <w:t>podría haber excedido un poco la razonabilidad (…) en torno a la demora esperada para constituir garantías</w:t>
      </w:r>
      <w:r>
        <w:rPr>
          <w:rtl w:val="0"/>
        </w:rPr>
        <w:t xml:space="preserve">” (VT del 15 de junio de 2026, fs. 34). </w:t>
      </w:r>
    </w:p>
    <w:p w14:paraId="00000066">
      <w:pPr>
        <w:numPr>
          <w:ilvl w:val="0"/>
          <w:numId w:val="1"/>
        </w:numPr>
        <w:spacing w:after="0"/>
        <w:ind w:left="0" w:hanging="566"/>
      </w:pPr>
      <w:r>
        <w:rPr>
          <w:rtl w:val="0"/>
        </w:rPr>
        <w:t>Debe señalarse con especial énfasis un hecho que, por su gravedad institucional, no puede pasar inadvertido: todo el proceso mediante el cual el MDN concedió sucesivas prórrogas a Cardama para la constitución de las garantías, así como las múltiples presentaciones, observaciones y reformulaciones de los borradores de dichas garantías, no surge del expediente administrativo de la contratación.</w:t>
      </w:r>
    </w:p>
    <w:p w14:paraId="00000067">
      <w:pPr>
        <w:numPr>
          <w:ilvl w:val="0"/>
          <w:numId w:val="1"/>
        </w:numPr>
        <w:spacing w:after="0"/>
        <w:ind w:left="0" w:hanging="566"/>
      </w:pPr>
      <w:r>
        <w:rPr>
          <w:rtl w:val="0"/>
        </w:rPr>
        <w:t>Esta Comisión pudo reconstruir esa secuencia únicamente a partir de las comunicaciones electrónicas que el Estudio Delpiazzo conservó y que fueron entregadas al Ministerio de Defensa Nacional en 2025, a requerimiento de este último. En el expediente N.º 2023-3-1-0000602 de la contratación, no existe documentación, actuación administrativa ni constancia que permita seguir el derrotero de decisiones que se adoptaron durante ese período.</w:t>
      </w:r>
    </w:p>
    <w:p w14:paraId="00000068">
      <w:pPr>
        <w:numPr>
          <w:ilvl w:val="0"/>
          <w:numId w:val="1"/>
        </w:numPr>
        <w:spacing w:after="0"/>
        <w:ind w:left="0" w:hanging="566"/>
      </w:pPr>
      <w:r>
        <w:rPr>
          <w:rtl w:val="0"/>
        </w:rPr>
        <w:t>En otras palabras: hay un vacío documental de prácticamente un año en torno a una de las decisiones más sensibles de un contrato de € 82.270.000. El contrato se firma el 15 de diciembre de 2023 y recién el 13 de diciembre de 2024 se deja constancia de su entrada en vigor y se realiza el primer pago. Durante todo ese período ocurrieron hechos determinantes para la suerte del contrato, que no quedaron registrados en el expediente administrativo que debía documentarlos. Esta puntualización es importante ya que es justamente durante ese período que se conceden prórrogas, se posterga la constitución de las garantías y, como consecuencia directa, se posterga la entrada en vigor de un contrato cuyos plazos de ejecución comienzan a correr precisamente a partir de ese momento.</w:t>
      </w:r>
    </w:p>
    <w:p w14:paraId="00000069">
      <w:pPr>
        <w:numPr>
          <w:ilvl w:val="0"/>
          <w:numId w:val="1"/>
        </w:numPr>
        <w:spacing w:after="0"/>
        <w:ind w:left="0" w:hanging="566"/>
      </w:pPr>
      <w:r>
        <w:rPr>
          <w:rtl w:val="0"/>
        </w:rPr>
        <w:t>Estamos hablando, además, de las garantías vinculadas al contrato de construcción de dos buques para la Armada Nacional, por un monto de € 82.270.000. Es decir, no estamos hablando de un contrato menor, ni de una cuestión administrativa secundaria: estamos hablando de la protección de los intereses patrimoniales del Estado en una contratación estratégica para la Defensa Nacional.</w:t>
      </w:r>
    </w:p>
    <w:p w14:paraId="0000006A">
      <w:pPr>
        <w:numPr>
          <w:ilvl w:val="0"/>
          <w:numId w:val="1"/>
        </w:numPr>
        <w:spacing w:after="0"/>
        <w:ind w:left="0" w:hanging="566"/>
      </w:pPr>
      <w:r>
        <w:rPr>
          <w:rtl w:val="0"/>
        </w:rPr>
        <w:t>En Comisión se planteó que las decisiones relativas a las prórrogas constituían “responsabilidades políticas del Ministro”. Sobre este punto, el ex Ministro Javier GARCÍA dijo en Comisión: “</w:t>
      </w:r>
      <w:r>
        <w:rPr>
          <w:i/>
          <w:iCs/>
          <w:rtl w:val="0"/>
        </w:rPr>
        <w:t>En el Ministerio de Defensa Nacional el responsable era yo y no busque responsabilidades en personas que son cargos subalternos al ministro. Acá tiene enfrente al que decidía en el Ministerio de Defensa</w:t>
      </w:r>
      <w:r>
        <w:rPr>
          <w:rtl w:val="0"/>
        </w:rPr>
        <w:t>.” (VT, 20 de julio de 2026 pág. 79). En el mismo sentido, el ex Ministro Armando CASTAINGDEBAT explicó que, frente a la posibilidad de considerar insuficientes las garantías presentadas o conceder nuevas prórrogas, optó por esta última alternativa: “</w:t>
      </w:r>
      <w:r>
        <w:rPr>
          <w:i/>
          <w:iCs/>
          <w:rtl w:val="0"/>
        </w:rPr>
        <w:t>Estamos tan cerca. Tenemos la garantía que es más importante. Estamos cubiertos. No tenemos cómo errarle. Vamos a prorrogar</w:t>
      </w:r>
      <w:r>
        <w:rPr>
          <w:rtl w:val="0"/>
        </w:rPr>
        <w:t>”. Agregó, además, que entendía que el proceso debía quedar resuelto antes de las elecciones: “</w:t>
      </w:r>
      <w:r>
        <w:rPr>
          <w:i/>
          <w:iCs/>
          <w:rtl w:val="0"/>
        </w:rPr>
        <w:t>no podés dejar decisiones de gobierno para otra Administración. Era un proceso y había que empezarlo y terminarlo. Entonces, en el tema prórrogas entendimos que eso era lo mejor para el país</w:t>
      </w:r>
      <w:r>
        <w:rPr>
          <w:rtl w:val="0"/>
        </w:rPr>
        <w:t>” (VT, 27 de julio de 2026, págs. 35 y 36).</w:t>
      </w:r>
    </w:p>
    <w:p w14:paraId="0000006B">
      <w:pPr>
        <w:numPr>
          <w:ilvl w:val="0"/>
          <w:numId w:val="1"/>
        </w:numPr>
        <w:spacing w:after="0"/>
        <w:ind w:left="0" w:hanging="566"/>
      </w:pPr>
      <w:r>
        <w:rPr>
          <w:rtl w:val="0"/>
        </w:rPr>
        <w:t>Estas declaraciones permiten establecer que las prórrogas no fueron concebidas como simples actuaciones de trámite, sino como decisiones adoptadas directamente por las máximas autoridades políticas del Ministerio. Precisamente por ello, corresponde determinar cómo fueron instrumentadas, qué fundamento jurídico las sustentó y de qué manera quedaron incorporadas al procedimiento administrativo. No basta con la asunción posterior de responsabilidad política: tratándose de decisiones con efectos sobre las condiciones de entrada en vigor de un contrato de esta magnitud, debía existir una expresión formal, fundada y trazable de la voluntad de la Administración.</w:t>
      </w:r>
    </w:p>
    <w:p w14:paraId="0000006C">
      <w:pPr>
        <w:numPr>
          <w:ilvl w:val="0"/>
          <w:numId w:val="1"/>
        </w:numPr>
        <w:spacing w:after="0"/>
        <w:ind w:left="0" w:hanging="566"/>
      </w:pPr>
      <w:r>
        <w:rPr>
          <w:rtl w:val="0"/>
        </w:rPr>
        <w:t>La modificación de condiciones esenciales de un contrato de la Administración pública por decisión del Ministro no puede instrumentarse mediante intercambios informales de correos electrónicos, sin resolución, adenda, modificación contractual formal ni incorporación de esa decisión al expediente administrativo. Cuando una decisión ministerial de esa naturaleza se adopta al margen de los mecanismos formales de la Administración, el problema trasciende el vínculo con la empresa contratista y compromete el funcionamiento institucional, la trazabilidad de las decisiones y la protección de los recursos públicos.</w:t>
      </w:r>
    </w:p>
    <w:p w14:paraId="0000006D">
      <w:pPr>
        <w:numPr>
          <w:ilvl w:val="0"/>
          <w:numId w:val="1"/>
        </w:numPr>
        <w:spacing w:after="0"/>
        <w:ind w:left="0" w:hanging="566"/>
      </w:pPr>
      <w:r>
        <w:rPr>
          <w:rtl w:val="0"/>
        </w:rPr>
        <w:t>La cuestión adquiere especial gravedad porque las garantías no constituían un requisito accesorio, sino una condición esencial para la protección del Estado y para la propia entrada en vigor del contrato. La reiterada flexibilización de los plazos para su constitución, sin una adecuada documentación de las decisiones adoptadas, debilitó los mecanismos de control sobre una materia con incidencia directa en la seguridad jurídica y patrimonial del Estado.</w:t>
      </w:r>
    </w:p>
    <w:p w14:paraId="0000006E">
      <w:pPr>
        <w:numPr>
          <w:ilvl w:val="0"/>
          <w:numId w:val="1"/>
        </w:numPr>
        <w:spacing w:after="0"/>
        <w:ind w:left="0" w:hanging="566"/>
      </w:pPr>
      <w:r>
        <w:rPr>
          <w:rtl w:val="0"/>
        </w:rPr>
        <w:t>En consecuencia, el análisis no puede limitarse a la existencia de una decisión política de conceder nuevas prórrogas. Corresponde examinar si la Administración podía alterar de hecho las condiciones previstas para la entrada en vigor de un contrato de esta magnitud sin una decisión formalmente documentada, debidamente motivada e incorporada al expediente administrativo.</w:t>
      </w:r>
    </w:p>
    <w:p w14:paraId="0000006F">
      <w:pPr>
        <w:numPr>
          <w:ilvl w:val="0"/>
          <w:numId w:val="1"/>
        </w:numPr>
        <w:spacing w:after="0"/>
        <w:ind w:left="0" w:hanging="566"/>
      </w:pPr>
      <w:r>
        <w:rPr>
          <w:rtl w:val="0"/>
        </w:rPr>
        <w:t>La asunción de responsabilidad política no puede operar como una vía sustitutiva de los procedimientos administrativos previstos para modificar las condiciones de un contrato público. Corresponde, por tanto, establecer con precisión quién adoptó la decisión, cuál fue su contenido, qué fundamento jurídico la respaldó, mediante qué procedimiento se instrumentó y de qué forma quedó documentada. Resulta especialmente relevante determinar por qué una decisión con consecuencias económicas y contractuales de esta magnitud para el Estado no fue incorporada al expediente administrativo que debía contenerla.</w:t>
      </w:r>
    </w:p>
    <w:p w14:paraId="00000070">
      <w:pPr>
        <w:numPr>
          <w:ilvl w:val="0"/>
          <w:numId w:val="1"/>
        </w:numPr>
        <w:ind w:left="0" w:hanging="566"/>
      </w:pPr>
      <w:r>
        <w:rPr>
          <w:rtl w:val="0"/>
        </w:rPr>
        <w:t>En una contratación de € 82.270.000, la ausencia de documentación no es ausencia de responsabilidad. Por el contrario, cuanto más trascendente es la decisión y cuanto mayor es el impacto sobre los intereses del Estado, mayor es la exigencia de fundamentación, trazabilidad y control. Y en este caso, justamente allí donde más controles debían existir, el expediente guarda silencio.</w:t>
      </w:r>
    </w:p>
    <w:p w14:paraId="00000071">
      <w:pPr>
        <w:pStyle w:val="3"/>
        <w:rPr>
          <w:u w:val="none"/>
        </w:rPr>
      </w:pPr>
      <w:bookmarkStart w:id="14" w:name="_heading=h.nhqqx2lix35b" w:colFirst="0" w:colLast="0"/>
      <w:bookmarkEnd w:id="14"/>
      <w:r>
        <w:rPr>
          <w:u w:val="none"/>
          <w:rtl w:val="0"/>
        </w:rPr>
        <w:t>D. BORRADORES, PRÓRROGAS Y LA AUSENCIA DE CONTROLES</w:t>
      </w:r>
    </w:p>
    <w:p w14:paraId="00000072">
      <w:pPr>
        <w:numPr>
          <w:ilvl w:val="0"/>
          <w:numId w:val="1"/>
        </w:numPr>
        <w:ind w:left="0" w:hanging="566"/>
      </w:pPr>
      <w:r>
        <w:rPr>
          <w:rtl w:val="0"/>
        </w:rPr>
        <w:t>De la reconstrucción documental y testimonial realizada por esta Comisión respecto del proceso de constitución de las garantías surge que Cardama presentó sucesivos borradores de pólizas emitidas por distintas empresas aseguradoras. Varios de estos documentos fueron observados por el Ministerio de Defensa Nacional, a partir de las objeciones y recomendaciones formuladas por el Estudio Delpiazzo, al constatarse que no cumplían con las exigencias contractuales y jurídicas necesarias para ser aceptados como garantías válidas.</w:t>
      </w:r>
    </w:p>
    <w:p w14:paraId="00000073">
      <w:pPr>
        <w:numPr>
          <w:ilvl w:val="0"/>
          <w:numId w:val="1"/>
        </w:numPr>
        <w:spacing w:after="0"/>
        <w:ind w:left="0" w:hanging="566"/>
      </w:pPr>
      <w:r>
        <w:rPr>
          <w:rtl w:val="0"/>
        </w:rPr>
        <w:t>Este proceso evidencia que la constitución de las garantías no fue un trámite formal ni inmediato, sino un proceso prolongado, caracterizado por la presentación sucesiva de documentos que debieron ser analizados, observados y reformulados.</w:t>
      </w:r>
    </w:p>
    <w:p w14:paraId="00000074">
      <w:pPr>
        <w:numPr>
          <w:ilvl w:val="0"/>
          <w:numId w:val="1"/>
        </w:numPr>
        <w:spacing w:after="0"/>
        <w:ind w:left="0" w:hanging="566"/>
      </w:pPr>
      <w:r>
        <w:rPr>
          <w:rtl w:val="0"/>
        </w:rPr>
        <w:t>Sin embargo, cuando se analiza el proceso en su conjunto, se advierte un aspecto particularmente preocupante: el estándar de control que inicialmente adoptó el MDN se fue debilitando a medida que transcurrieron los meses.</w:t>
      </w:r>
    </w:p>
    <w:p w14:paraId="00000075">
      <w:pPr>
        <w:pStyle w:val="3"/>
        <w:rPr>
          <w:u w:val="none"/>
        </w:rPr>
      </w:pPr>
      <w:bookmarkStart w:id="15" w:name="_heading=h.sv1s0ehmom2q" w:colFirst="0" w:colLast="0"/>
      <w:bookmarkEnd w:id="15"/>
      <w:r>
        <w:rPr>
          <w:u w:val="none"/>
          <w:rtl w:val="0"/>
        </w:rPr>
        <w:t>E. RECOMENDACIÓN DE BCU: LA ALERTA QUE PUDO EVITAR EL FRAUDE</w:t>
      </w:r>
    </w:p>
    <w:p w14:paraId="00000076">
      <w:pPr>
        <w:numPr>
          <w:ilvl w:val="0"/>
          <w:numId w:val="1"/>
        </w:numPr>
        <w:ind w:left="0" w:hanging="566"/>
      </w:pPr>
      <w:r>
        <w:rPr>
          <w:rtl w:val="0"/>
        </w:rPr>
        <w:t>En ese marco, fue el propio MDN quien solicitó al Banco Central del Uruguay (BCU) información respecto de algunas de las propuestas inicialmente presentadas, entre ellas las correspondientes a Redbridge y Euro Exim Bank.</w:t>
      </w:r>
    </w:p>
    <w:p w14:paraId="00000077">
      <w:pPr>
        <w:numPr>
          <w:ilvl w:val="0"/>
          <w:numId w:val="1"/>
        </w:numPr>
        <w:spacing w:after="0"/>
        <w:ind w:left="0" w:hanging="566"/>
      </w:pPr>
      <w:r>
        <w:rPr>
          <w:rtl w:val="0"/>
        </w:rPr>
        <w:t>La respuesta del BCU adquiere especial relevancia para el análisis de esta Comisión. El máximo organismo supervisor del sistema financiero, ante la consulta formulada por el propio Ministerio, recomendó contar con asesoramiento jurídico especializado y con un corredor de seguros, a efectos de evaluar adecuadamente los riesgos involucrados, el procedimiento para eventuales reclamos, las condiciones y formas de pago y otros aspectos vinculados a la efectiva ejecutabilidad de las garantías.</w:t>
      </w:r>
    </w:p>
    <w:p w14:paraId="00000078">
      <w:pPr>
        <w:numPr>
          <w:ilvl w:val="0"/>
          <w:numId w:val="1"/>
        </w:numPr>
        <w:spacing w:after="0"/>
        <w:ind w:left="0" w:hanging="566"/>
      </w:pPr>
      <w:r>
        <w:rPr>
          <w:rtl w:val="0"/>
        </w:rPr>
        <w:t>Se trataba, por tanto, de una recomendación concreta formulada por el organismo especializado al que el propio MDN había recurrido precisamente para obtener mayores garantías y elementos de juicio antes de aceptar determinadas pólizas. Sin embargo, pese a esa recomendación, el Ministerio de Defensa Nacional nunca requirió ni contrató el asesoramiento específico sugerido por el BCU.</w:t>
      </w:r>
    </w:p>
    <w:p w14:paraId="00000079">
      <w:pPr>
        <w:numPr>
          <w:ilvl w:val="0"/>
          <w:numId w:val="1"/>
        </w:numPr>
        <w:spacing w:after="0"/>
        <w:ind w:left="0" w:hanging="566"/>
      </w:pPr>
      <w:r>
        <w:rPr>
          <w:rtl w:val="0"/>
        </w:rPr>
        <w:t>La reconstrucción testimonial realizada por esta Comisión agrega un elemento todavía más preocupante. La senadora Liliam KECHICHIAN consultó expresamente al entonces Director General de Secretaría, Dr. Fabián MARTÍNEZ: “</w:t>
      </w:r>
      <w:r>
        <w:rPr>
          <w:i/>
          <w:iCs/>
          <w:rtl w:val="0"/>
        </w:rPr>
        <w:t>El Ministerio de Defensa Nacional tenía advertencias sobre la insolvencia económica de la empresa, tal como informó Magliocca en esta Comisión, ya que era un trascendido de prensa que circulaba fuertemente. ¿Ustedes verificaron las dificultades financieras de Cardama cuando esa noticia empezó a circular con fuerza?</w:t>
      </w:r>
      <w:r>
        <w:rPr>
          <w:rtl w:val="0"/>
        </w:rPr>
        <w:t>”. Frente a esa pregunta, MARTÍNEZ respondió: “</w:t>
      </w:r>
      <w:r>
        <w:rPr>
          <w:i/>
          <w:iCs/>
          <w:rtl w:val="0"/>
        </w:rPr>
        <w:t>si usted me pregunta si se evaluó esa situación —ahora no voy a rehusar su pregunta—, tengo entendido, por lo que yo recuerdo, que no se evaluó</w:t>
      </w:r>
      <w:r>
        <w:rPr>
          <w:rtl w:val="0"/>
        </w:rPr>
        <w:t>” (VT del 6 de julio de 2026, pág. 26).</w:t>
      </w:r>
    </w:p>
    <w:p w14:paraId="0000007A">
      <w:pPr>
        <w:numPr>
          <w:ilvl w:val="0"/>
          <w:numId w:val="1"/>
        </w:numPr>
        <w:spacing w:after="0"/>
        <w:ind w:left="0" w:hanging="566"/>
      </w:pPr>
      <w:r>
        <w:rPr>
          <w:rtl w:val="0"/>
        </w:rPr>
        <w:t>Por su parte, el Dr. José Miguel DELPIAZZO precisó ante la Comisión el alcance del asesoramiento prestado por el Estudio respecto de las garantías: “</w:t>
      </w:r>
      <w:r>
        <w:rPr>
          <w:i/>
          <w:iCs/>
          <w:rtl w:val="0"/>
        </w:rPr>
        <w:t>cuando nos hacían alguna consulta concreta en torno a los documentos de garantías, se aclaraba –y debe figurar en algunos de los correos– que nuestro análisis era meramente jurídico a fin de contrastar el documento con las exigencias del contrato, aclarando que no estábamos en condiciones de analizar solvencia o antecedentes de entidades financieras o bancarias</w:t>
      </w:r>
      <w:r>
        <w:rPr>
          <w:rtl w:val="0"/>
        </w:rPr>
        <w:t>” (VT del 15 de junio de 2026, págs. 12 y 13). De este modo, mientras el propio Director General de Secretaría reconoció que no se había evaluado la situación financiera de Cardama, el asesor jurídico externo dejó expresamente establecido que el análisis de solvencia y antecedentes de las entidades garantes tampoco formaba parte de su cometido. La Comisión no ha podido identificar, por tanto, qué órgano o jerarca asumió efectivamente la responsabilidad de realizar ese control.</w:t>
      </w:r>
    </w:p>
    <w:p w14:paraId="0000007B">
      <w:pPr>
        <w:numPr>
          <w:ilvl w:val="0"/>
          <w:numId w:val="1"/>
        </w:numPr>
        <w:spacing w:after="0"/>
        <w:ind w:left="0" w:hanging="566"/>
      </w:pPr>
      <w:r>
        <w:rPr>
          <w:rtl w:val="0"/>
        </w:rPr>
        <w:t>La consecuencia es difícil de soslayar: si el BCU había advertido la necesidad de realizar determinadas verificaciones y, posteriormente, el MDN reconoce que no las realizó, mientras que el asesor jurídico señala que tampoco era ese el objeto de su intervención, no aparece identificado en la reconstrucción realizada por esta Comisión qué órgano, autoridad o servicio asumió efectivamente la responsabilidad de verificar la solvencia y los antecedentes de quienes debían garantizar un contrato por € 82.270.000. Ese vacío no es meramente documental, sino también de control. Y resulta particularmente relevante porque los controles sobre una contratación de esta naturaleza no dependen únicamente de una asignación expresa y puntual, sino que forman parte de los deberes funcionales y de diligencia inherentes al ejercicio de cargos y jerarquías dentro de la Administración, especialmente cuando se encuentra comprometido el patrimonio público. Mientras inicialmente la Administración procuró verificar la suficiencia de las garantías desde distintas perspectivas —jurídica, financiera y técnica—, posteriormente avanzó sin que quedara claramente identificado quién asumió la responsabilidad de realizar una evaluación integral de la solvencia, antecedentes y capacidad de respuesta del garante.</w:t>
      </w:r>
    </w:p>
    <w:p w14:paraId="0000007C">
      <w:pPr>
        <w:numPr>
          <w:ilvl w:val="0"/>
          <w:numId w:val="1"/>
        </w:numPr>
        <w:spacing w:after="0"/>
        <w:ind w:left="0" w:hanging="566"/>
      </w:pPr>
      <w:r>
        <w:rPr>
          <w:rtl w:val="0"/>
        </w:rPr>
        <w:t>Esta diferencia no es menor. Una garantía no cumple su finalidad por el solo hecho de existir formalmente o de reunir determinados requisitos documentales. Su verdadero valor reside en la CAPACIDAD ECONÓMICA y jurídica de quien la emite para responder cuando el Estado necesita hacerla efectiva.</w:t>
      </w:r>
    </w:p>
    <w:p w14:paraId="0000007D">
      <w:pPr>
        <w:numPr>
          <w:ilvl w:val="0"/>
          <w:numId w:val="1"/>
        </w:numPr>
        <w:spacing w:after="0"/>
        <w:ind w:left="0" w:hanging="566"/>
      </w:pPr>
      <w:r>
        <w:rPr>
          <w:rtl w:val="0"/>
        </w:rPr>
        <w:t xml:space="preserve">Por eso, cuando el organismo especializado recomienda profundizar los controles, cuando esos controles finalmente no se realizan y cuando tampoco aparece claramente identificado quién asumió esa tarea, el problema deja de ser una simple omisión administrativa. Se convierte en una falla estructural que solo afecta a los mecanismos necesarios para proteger al Estado. El Estado no necesitaba simplemente un documento de póliza, necesitaba una empresa financiera que pudiera responder cuando lo necesitara. </w:t>
      </w:r>
    </w:p>
    <w:p w14:paraId="0000007E">
      <w:pPr>
        <w:numPr>
          <w:ilvl w:val="0"/>
          <w:numId w:val="1"/>
        </w:numPr>
        <w:spacing w:after="0"/>
        <w:ind w:left="0" w:hanging="566"/>
      </w:pPr>
      <w:r>
        <w:rPr>
          <w:rtl w:val="0"/>
        </w:rPr>
        <w:t>Consultado el ex Ministro CASTAINGDEBAT sobre esta decisión de no seguir las recomendaciones respondió que ya que “</w:t>
      </w:r>
      <w:r>
        <w:rPr>
          <w:i/>
          <w:iCs/>
          <w:rtl w:val="0"/>
        </w:rPr>
        <w:t>no es vinculante la respuesta del Banco Central</w:t>
      </w:r>
      <w:r>
        <w:rPr>
          <w:rtl w:val="0"/>
        </w:rPr>
        <w:t>” no se siguieron las mismas (VT del 27 de julio de 2026, fs.19). Y existe un nexo directo entre esa ausencia de controles y el resultado que finalmente se produjo: el Estado aceptó una garantía que resultó ser falsa.</w:t>
      </w:r>
    </w:p>
    <w:p w14:paraId="0000007F">
      <w:pPr>
        <w:numPr>
          <w:ilvl w:val="0"/>
          <w:numId w:val="1"/>
        </w:numPr>
        <w:spacing w:after="0"/>
        <w:ind w:left="0" w:hanging="566"/>
      </w:pPr>
      <w:r>
        <w:rPr>
          <w:rtl w:val="0"/>
        </w:rPr>
        <w:t>Por tanto, no estamos ante una mera recomendación que fue discrecionalmente desatendida ni frente a un riesgo puramente hipotético. La falta de controles tuvo una consecuencia concreta y grave sobre la protección del patrimonio público. La cuestión política de fondo es, entonces, sencilla pero ineludible: si el Estado decidió no seguir la recomendación del organismo especializado, debía sustituirla por controles propios, suficientes y eficaces. No podía simplemente prescindir de la recomendación y, al mismo tiempo, prescindir de los controles.</w:t>
      </w:r>
    </w:p>
    <w:p w14:paraId="00000080">
      <w:pPr>
        <w:numPr>
          <w:ilvl w:val="0"/>
          <w:numId w:val="1"/>
        </w:numPr>
        <w:ind w:left="0" w:hanging="566"/>
      </w:pPr>
      <w:r>
        <w:rPr>
          <w:rtl w:val="0"/>
        </w:rPr>
        <w:t xml:space="preserve">En definitiva, la responsabilidad política debe asumirse por haber permitido que un contrato de € 82.270.000 quedara respaldado por una garantía cuya solvencia, antecedentes y capacidad efectiva de respuesta no fueron debidamente controlados. Ese es el hecho que la Comisión debe dejar señalado con claridad.  </w:t>
      </w:r>
    </w:p>
    <w:p w14:paraId="00000081">
      <w:pPr>
        <w:pStyle w:val="3"/>
        <w:rPr>
          <w:u w:val="none"/>
        </w:rPr>
      </w:pPr>
      <w:bookmarkStart w:id="16" w:name="_heading=h.9yg8bnk5pdf2" w:colFirst="0" w:colLast="0"/>
      <w:bookmarkEnd w:id="16"/>
      <w:r>
        <w:rPr>
          <w:u w:val="none"/>
          <w:rtl w:val="0"/>
        </w:rPr>
        <w:t>F. FALTA DE DOCUMENTACIÓN DE PRÓRROGAS Y ASESORAMIENTO DE DEJAR SIN EFECTO EL CONTRATO</w:t>
      </w:r>
    </w:p>
    <w:p w14:paraId="00000082">
      <w:pPr>
        <w:numPr>
          <w:ilvl w:val="0"/>
          <w:numId w:val="1"/>
        </w:numPr>
        <w:ind w:left="0" w:hanging="566"/>
      </w:pPr>
      <w:r>
        <w:rPr>
          <w:rtl w:val="0"/>
        </w:rPr>
        <w:t>En julio de 2024, el Dr. José Miguel Delpiazzo comunicó al entonces Director General de Recursos Financieros, Cr. Damián Galó, una situación que, a esa altura, resultaba difícil de desconocer. En un correo electrónico de fecha 10 de julio de 2024 señaló expresamente que “el plazo para constituir la garantía de fiel cumplimiento del contrato está vencido hace tiempo” y que “es preocupante que aún no hayan podido constituir la garantía comprometida hace meses”.</w:t>
      </w:r>
    </w:p>
    <w:p w14:paraId="00000083">
      <w:pPr>
        <w:numPr>
          <w:ilvl w:val="0"/>
          <w:numId w:val="1"/>
        </w:numPr>
        <w:spacing w:after="0"/>
        <w:ind w:left="0" w:hanging="566"/>
      </w:pPr>
      <w:r>
        <w:rPr>
          <w:rtl w:val="0"/>
        </w:rPr>
        <w:t>Es importante recordar que la última prórroga formalmente documentada y fundamentada fue la concedida por el entonces Ministro Armando Castaingdebat el mismo día en que asumió el cargo. Vencido ese plazo, Cardama continuó remitiendo correos electrónicos y planteando distintas justificaciones para explicar la demora, pero sin lograr constituir las garantías en las condiciones exigidas por el contrato.</w:t>
      </w:r>
    </w:p>
    <w:p w14:paraId="00000084">
      <w:pPr>
        <w:numPr>
          <w:ilvl w:val="0"/>
          <w:numId w:val="1"/>
        </w:numPr>
        <w:spacing w:after="0"/>
        <w:ind w:left="0" w:hanging="566"/>
      </w:pPr>
      <w:r>
        <w:rPr>
          <w:rtl w:val="0"/>
        </w:rPr>
        <w:t>La situación llegó a un punto particularmente relevante en agosto de 2024. Vencida la prórroga concedida y sin que Cardama hubiera presentado garantías válidas, el MDN solicitó al Estudio Delpiazzo que elaborará un borrador de comunicación dirigido a la empresa, mediante el cual se le informaría que, “a la fecha, habiendo pasado más de 8 meses desde la firma del Contrato y estando próximos a los 6 meses de vencido el plazo máximo prorrogado para presentar las garantías proyectadas, no se han constituido las garantías”, por lo que correspondía tener por “no celebrado” el contrato, de conformidad con lo previsto en la cláusula 36.</w:t>
      </w:r>
    </w:p>
    <w:p w14:paraId="00000085">
      <w:pPr>
        <w:numPr>
          <w:ilvl w:val="0"/>
          <w:numId w:val="1"/>
        </w:numPr>
        <w:spacing w:after="0"/>
        <w:ind w:left="0" w:hanging="566"/>
      </w:pPr>
      <w:r>
        <w:rPr>
          <w:rtl w:val="0"/>
        </w:rPr>
        <w:t>Este hecho resulta particularmente significativo: el propio Ministerio llegó a solicitar la elaboración del instrumento mediante el cual se aplicaría la consecuencia prevista expresamente en el contrato frente al incumplimiento de Cardama.</w:t>
      </w:r>
    </w:p>
    <w:p w14:paraId="00000086">
      <w:pPr>
        <w:numPr>
          <w:ilvl w:val="0"/>
          <w:numId w:val="1"/>
        </w:numPr>
        <w:spacing w:after="0"/>
        <w:ind w:left="0" w:hanging="566"/>
      </w:pPr>
      <w:r>
        <w:rPr>
          <w:rtl w:val="0"/>
        </w:rPr>
        <w:t>Sin embargo, pese a haber sido solicitado, ese borrador nunca fue remitido a la empresa. La Administración llegó, por tanto, al punto de reconocer formalmente que se había configurado el supuesto previsto en la cláusula contractual, solicitó preparar la comunicación correspondiente y, finalmente, decidió no enviarla.</w:t>
      </w:r>
    </w:p>
    <w:p w14:paraId="00000087">
      <w:pPr>
        <w:numPr>
          <w:ilvl w:val="0"/>
          <w:numId w:val="1"/>
        </w:numPr>
        <w:spacing w:after="0"/>
        <w:ind w:left="0" w:hanging="566"/>
      </w:pPr>
      <w:r>
        <w:rPr>
          <w:rtl w:val="0"/>
        </w:rPr>
        <w:t>La explicación brindada posteriormente por el exministro Armando Castaingdebat resulta especialmente reveladora. Consultado por esta Comisión acerca de las razones por las cuales no se comunicó la no entrada en vigor del contrato y si había recibido algún asesoramiento técnico que fundamenta la decisión de continuar con el mismo, respondió: “usé el sentido común”. Y, ante la pregunta sobre quién asume la responsabilidad, fue categórico: “la responsabilidad es del ministro, de nadie más que del ministro” (VT, ídem, fs. 22 y 23).</w:t>
      </w:r>
    </w:p>
    <w:p w14:paraId="00000088">
      <w:pPr>
        <w:numPr>
          <w:ilvl w:val="0"/>
          <w:numId w:val="1"/>
        </w:numPr>
        <w:spacing w:after="0"/>
        <w:ind w:left="0" w:hanging="566"/>
      </w:pPr>
      <w:r>
        <w:rPr>
          <w:rtl w:val="0"/>
        </w:rPr>
        <w:t>La decisión de mantener vigente el contrato adquiere todavía mayor gravedad cuando se observa la secuencia posterior de los hechos. El incumplimiento de Cardama no terminó con el vencimiento de las prórrogas: a partir de allí, el problema dejó de ser la demora en presentar las garantías y pasó a ser la calidad, autenticidad y eficacia de las garantías que finalmente se pretendieron presentar.</w:t>
      </w:r>
    </w:p>
    <w:p w14:paraId="00000089">
      <w:pPr>
        <w:numPr>
          <w:ilvl w:val="0"/>
          <w:numId w:val="1"/>
        </w:numPr>
        <w:spacing w:after="0"/>
        <w:ind w:left="0" w:hanging="566"/>
      </w:pPr>
      <w:r>
        <w:rPr>
          <w:rtl w:val="0"/>
        </w:rPr>
        <w:t>Durante meses, la Administración había recibido sucesivos borradores, observaciones y explicaciones de la empresa. Había vencido el plazo original, se habían concedido prórrogas y también había vencido la última extensión expresamente otorgada por el Ministro. El propio asesor jurídico había advertido que el plazo estaba largamente vencido y el MDN había llegado a solicitar la preparación de una comunicación para hacer efectiva la cláusula 36.</w:t>
      </w:r>
    </w:p>
    <w:p w14:paraId="0000008A">
      <w:pPr>
        <w:numPr>
          <w:ilvl w:val="0"/>
          <w:numId w:val="1"/>
        </w:numPr>
        <w:spacing w:after="0"/>
        <w:ind w:left="0" w:hanging="566"/>
      </w:pPr>
      <w:r>
        <w:rPr>
          <w:rtl w:val="0"/>
        </w:rPr>
        <w:t>Sin embargo, en lugar de cerrar el proceso ante el incumplimiento, la Administración decidió mantener abierta la posibilidad de que Cardama continuara buscando una garantía que cumpliera con las condiciones exigidas.</w:t>
      </w:r>
    </w:p>
    <w:p w14:paraId="0000008B">
      <w:pPr>
        <w:numPr>
          <w:ilvl w:val="0"/>
          <w:numId w:val="1"/>
        </w:numPr>
        <w:spacing w:after="0"/>
        <w:ind w:left="0" w:hanging="566"/>
      </w:pPr>
      <w:r>
        <w:rPr>
          <w:rtl w:val="0"/>
        </w:rPr>
        <w:t>Esta decisión tuvo un efecto concreto: trasladó hacia adelante las consecuencias del incumplimiento de la empresa y permitió que el contrato continuará en una suerte de estado de excepción, en el que los plazos contractuales se habían vencido, las garantías no estaban constituidas y, aun así, la relación contractual seguía siendo sostenida por la Administración.</w:t>
      </w:r>
    </w:p>
    <w:p w14:paraId="0000008C">
      <w:pPr>
        <w:numPr>
          <w:ilvl w:val="0"/>
          <w:numId w:val="1"/>
        </w:numPr>
        <w:spacing w:after="0"/>
        <w:ind w:left="0" w:hanging="566"/>
      </w:pPr>
      <w:r>
        <w:rPr>
          <w:rtl w:val="0"/>
        </w:rPr>
        <w:t>Lo que corresponde preguntarse es si esa flexibilidad, que inicialmente pudo presentarse como una medida destinada a preservar el contrato, terminó generando precisamente el escenario de mayor riesgo para el Estado.</w:t>
      </w:r>
    </w:p>
    <w:p w14:paraId="0000008D">
      <w:pPr>
        <w:numPr>
          <w:ilvl w:val="0"/>
          <w:numId w:val="1"/>
        </w:numPr>
        <w:spacing w:after="0"/>
        <w:ind w:left="0" w:hanging="566"/>
      </w:pPr>
      <w:r>
        <w:rPr>
          <w:rtl w:val="0"/>
        </w:rPr>
        <w:t>Porque al no aplicar la cláusula 36, el MDN no solamente toleró un incumplimiento ya configurado. También mantuvo vigente el incentivo para que CARDAMA continuará presentando alternativas y reformulaciones hasta conseguir una documentación que pudiera ser aceptada.</w:t>
      </w:r>
    </w:p>
    <w:p w14:paraId="0000008E">
      <w:pPr>
        <w:numPr>
          <w:ilvl w:val="0"/>
          <w:numId w:val="1"/>
        </w:numPr>
        <w:spacing w:after="0"/>
        <w:ind w:left="0" w:hanging="566"/>
      </w:pPr>
      <w:r>
        <w:rPr>
          <w:rtl w:val="0"/>
        </w:rPr>
        <w:t>La Comisión pudo reconstruir que durante los meses siguientes continuaron las comunicaciones, las presentaciones y las gestiones destinadas a lograr que las garantías fueran finalmente aceptadas. El proceso que debió haber terminado con la constatación de un incumplimiento contractual se prolongó y terminó desembocando en la aceptación de documentación cuya autenticidad y eficacia posteriormente serían cuestionadas.</w:t>
      </w:r>
    </w:p>
    <w:p w14:paraId="0000008F">
      <w:pPr>
        <w:numPr>
          <w:ilvl w:val="0"/>
          <w:numId w:val="1"/>
        </w:numPr>
        <w:spacing w:after="0"/>
        <w:ind w:left="0" w:hanging="566"/>
      </w:pPr>
      <w:r>
        <w:rPr>
          <w:rtl w:val="0"/>
        </w:rPr>
        <w:t>El 3 de setiembre de 2024 a las 11:43 horas, el Sr. Mario Cardama remite un correo electrónico al Dir. Gral. de Secretaría y al Dir. Gral. de Recursos Financieros solicitando “</w:t>
      </w:r>
      <w:r>
        <w:rPr>
          <w:i/>
          <w:iCs/>
          <w:rtl w:val="0"/>
        </w:rPr>
        <w:t>un aplazamiento de 72 horas de cualquier decisión sobre el proyecto para darnos tiempo a nosotros para poder poner a disposición del ministro esta otra opción</w:t>
      </w:r>
      <w:r>
        <w:rPr>
          <w:rtl w:val="0"/>
        </w:rPr>
        <w:t>” en referencia a una nueva opción de garantía que estaban “explorando”. Ese mismo día, a las 13:45 horas, el Dr. Fabián MARTÍNEZ le responde que “</w:t>
      </w:r>
      <w:r>
        <w:rPr>
          <w:i/>
          <w:iCs/>
          <w:rtl w:val="0"/>
        </w:rPr>
        <w:t>De mandato verbal del Señor Ministro de Defensa Nacional se concede lo solicitado</w:t>
      </w:r>
      <w:r>
        <w:rPr>
          <w:rtl w:val="0"/>
        </w:rPr>
        <w:t xml:space="preserve">”. </w:t>
      </w:r>
    </w:p>
    <w:p w14:paraId="00000090">
      <w:pPr>
        <w:numPr>
          <w:ilvl w:val="0"/>
          <w:numId w:val="1"/>
        </w:numPr>
        <w:spacing w:after="0"/>
        <w:ind w:left="0" w:hanging="566"/>
      </w:pPr>
      <w:r>
        <w:rPr>
          <w:rtl w:val="0"/>
        </w:rPr>
        <w:t>Consultado el ex Ministro CASTAINGDEBAT sobre si él había dispuesto ese plazo de 72 horas y el porqué de esa decisión respondió: “</w:t>
      </w:r>
      <w:r>
        <w:rPr>
          <w:i/>
          <w:iCs/>
          <w:rtl w:val="0"/>
        </w:rPr>
        <w:t>El sentido común nos indicó que frente a lo que estábamos, lo mejor para el país en ese momento era tratar de encontrar una solución y poder llegar al cumplimiento del contrato</w:t>
      </w:r>
      <w:r>
        <w:rPr>
          <w:rtl w:val="0"/>
        </w:rPr>
        <w:t xml:space="preserve">” (VT del 27 de julio de 2026, fs. 23, 24 y 45). </w:t>
      </w:r>
    </w:p>
    <w:p w14:paraId="00000091">
      <w:pPr>
        <w:numPr>
          <w:ilvl w:val="0"/>
          <w:numId w:val="1"/>
        </w:numPr>
        <w:spacing w:after="0"/>
        <w:ind w:left="0" w:hanging="566"/>
      </w:pPr>
      <w:r>
        <w:rPr>
          <w:rtl w:val="0"/>
        </w:rPr>
        <w:t>Dentro de las 72 horas otorgadas por CASTAINGDEBAT, el 6 de setiembre de 2024, Cardama remite un correo electrónico al Dr. MARTÍNEZ y al Cr. GALÓ con documentación adjunta sobre tres opciones de garantías de fiel cumplimiento: Bank Winter and Co., posible depósito bancario, y Eurocommerce LTD. Ese mismo día DELPIAZZO informa a GALÓ que “</w:t>
      </w:r>
      <w:r>
        <w:rPr>
          <w:i/>
          <w:iCs/>
          <w:rtl w:val="0"/>
        </w:rPr>
        <w:t>los borradores de garantía enviados no cumplen con las exigencias contractuales. A la fecha, no se ha cumplido con constituir la garantía, habiéndose vencido el plazo de tolerancia brindado</w:t>
      </w:r>
      <w:r>
        <w:rPr>
          <w:rtl w:val="0"/>
        </w:rPr>
        <w:t xml:space="preserve">”. El 17 de setiembre Cardama remite una nueva propuesta de garantía bancaria de Eurocommerce LDA, remitiendo DELPIAZZO las observaciones formuladas oportunamente. </w:t>
      </w:r>
    </w:p>
    <w:p w14:paraId="00000092">
      <w:pPr>
        <w:numPr>
          <w:ilvl w:val="0"/>
          <w:numId w:val="1"/>
        </w:numPr>
        <w:spacing w:after="0"/>
        <w:ind w:left="0" w:hanging="566"/>
      </w:pPr>
      <w:r>
        <w:rPr>
          <w:rtl w:val="0"/>
        </w:rPr>
        <w:t>Si la cláusula 36 establecía una consecuencia frente al incumplimiento y esa consecuencia no fue aplicada, corresponde determinar qué razones llevaron a la Administración a apartarse de la solución contractual prevista y qué controles se aplicaron para administrar el riesgo generado por esa decisión.</w:t>
      </w:r>
    </w:p>
    <w:p w14:paraId="00000093">
      <w:pPr>
        <w:numPr>
          <w:ilvl w:val="0"/>
          <w:numId w:val="1"/>
        </w:numPr>
        <w:spacing w:after="0"/>
        <w:ind w:left="0" w:hanging="566"/>
      </w:pPr>
      <w:r>
        <w:rPr>
          <w:rtl w:val="0"/>
        </w:rPr>
        <w:t>La respuesta no puede ser simplemente que se buscó “salvar el contrato”. En materia de contratación pública, la preservación de un negocio no puede convertirse en un fin superior a la protección del patrimonio y de los intereses del Estado.</w:t>
      </w:r>
    </w:p>
    <w:p w14:paraId="00000094">
      <w:pPr>
        <w:numPr>
          <w:ilvl w:val="0"/>
          <w:numId w:val="1"/>
        </w:numPr>
        <w:spacing w:after="0"/>
        <w:ind w:left="0" w:hanging="566"/>
      </w:pPr>
      <w:r>
        <w:rPr>
          <w:rtl w:val="0"/>
        </w:rPr>
        <w:t>La consecuencia política de esta secuencia es clara: la decisión de continuar no fue neutral. Modificó el escenario de riesgo, debilitó la posición del Estado y permitió que un incumplimiento que inicialmente podía haber determinado la finalización del vínculo contractual evolucionara hacia un problema de dimensiones mucho mayores.</w:t>
      </w:r>
    </w:p>
    <w:p w14:paraId="00000095">
      <w:pPr>
        <w:numPr>
          <w:ilvl w:val="0"/>
          <w:numId w:val="1"/>
        </w:numPr>
        <w:spacing w:after="0"/>
        <w:ind w:left="0" w:hanging="566"/>
      </w:pPr>
      <w:r>
        <w:rPr>
          <w:rtl w:val="0"/>
        </w:rPr>
        <w:t>La Comisión deberá, por tanto, valorar esta decisión no solamente por lo que ocurrió en el momento en que fue adoptada, sino también por sus consecuencias previsibles y por lo que finalmente ocurrió: Cardama obtuvo nuevas oportunidades, el Estado mantuvo abierto el contrato y, finalmente, apareció una garantía que no cumplía con la función esencial para la cual había sido exigida.</w:t>
      </w:r>
    </w:p>
    <w:p w14:paraId="00000096">
      <w:pPr>
        <w:numPr>
          <w:ilvl w:val="0"/>
          <w:numId w:val="1"/>
        </w:numPr>
        <w:spacing w:after="0"/>
        <w:ind w:left="0" w:hanging="566"/>
      </w:pPr>
      <w:r>
        <w:rPr>
          <w:rtl w:val="0"/>
        </w:rPr>
        <w:t>En este sentido, la garantía falsa no constituye el comienzo de la crisis. Es el resultado final de una cadena de decisiones previas que permitieron que el proceso continuara a pesar de que las condiciones contractuales para su entrada en vigor no habían sido cumplidas.</w:t>
      </w:r>
    </w:p>
    <w:p w14:paraId="00000097">
      <w:pPr>
        <w:numPr>
          <w:ilvl w:val="0"/>
          <w:numId w:val="1"/>
        </w:numPr>
        <w:ind w:left="0" w:hanging="566"/>
      </w:pPr>
      <w:r>
        <w:rPr>
          <w:rtl w:val="0"/>
        </w:rPr>
        <w:t xml:space="preserve">No hubo valoración técnica alguna, ni consulta profesional alguna, para tomar esta decisión, a pesar de contar con un informe del Estudio Delpiazzo que daba cuenta del vencimiento del plazo y la pertinencia de activar la cláusula 36 del contrato y tenerlo por “no celebrado”. </w:t>
      </w:r>
    </w:p>
    <w:p w14:paraId="00000098">
      <w:pPr>
        <w:pStyle w:val="3"/>
        <w:rPr>
          <w:u w:val="none"/>
        </w:rPr>
      </w:pPr>
      <w:bookmarkStart w:id="17" w:name="_heading=h.zh4e757r1fe7" w:colFirst="0" w:colLast="0"/>
      <w:bookmarkEnd w:id="17"/>
      <w:r>
        <w:rPr>
          <w:u w:val="none"/>
          <w:rtl w:val="0"/>
        </w:rPr>
        <w:t>G. DIVERSAS PÓLIZAS DE DISTINTAS EMPRESAS</w:t>
      </w:r>
    </w:p>
    <w:p w14:paraId="00000099">
      <w:pPr>
        <w:numPr>
          <w:ilvl w:val="0"/>
          <w:numId w:val="1"/>
        </w:numPr>
        <w:ind w:left="0" w:hanging="566"/>
      </w:pPr>
      <w:r>
        <w:rPr>
          <w:rtl w:val="0"/>
        </w:rPr>
        <w:t>La secuencia reconstruida por esta Comisión resulta, al menos, reveladora de la conducta desplegada por Cardama durante la etapa previa a la efectiva constitución de las garantías. No se trata de observaciones menores ni de diferencias de forma. Los documentos presentados exhibieron reiteradamente errores de redacción, contradicciones internas, cláusulas incompatibles con el contrato, condiciones que impedían su ejecución a primer requerimiento, exigencias de intervención del propio deudor para obtener el pago, jurisdicciones extranjeras, términos y condiciones no informados, documentos incompletos y hasta errores en la propia identificación de las entidades que supuestamente emitían las garantías.</w:t>
      </w:r>
    </w:p>
    <w:p w14:paraId="0000009A">
      <w:pPr>
        <w:numPr>
          <w:ilvl w:val="0"/>
          <w:numId w:val="1"/>
        </w:numPr>
        <w:spacing w:after="0"/>
        <w:ind w:left="0" w:hanging="566"/>
      </w:pPr>
      <w:r>
        <w:rPr>
          <w:rtl w:val="0"/>
        </w:rPr>
        <w:t>La referencia al Banco de Seguros del Estado (BSE) resulta particularmente significativa. Se trata de una institución pública, de especial relevancia en el mercado asegurador uruguayo. Sin embargo, el BSE finalmente no emitió las garantías y, de acuerdo con la información recabada por esta Comisión, no ha sido posible determinar con claridad cuáles fueron las razones por las que esa institución no concretó su otorgamiento. Este extremo no es menor. Si una empresa que acababa de asumir un contrato por € 82.270.000 procuraba inicialmente obtener la garantía del 5% del monto total del contrato a través del BSE y finalmente esa alternativa no prosperó, resulta necesario conocer qué ocurrió, cuáles fueron las evaluaciones realizadas y por qué esa vía terminó descartando.</w:t>
      </w:r>
    </w:p>
    <w:p w14:paraId="0000009B">
      <w:pPr>
        <w:numPr>
          <w:ilvl w:val="0"/>
          <w:numId w:val="1"/>
        </w:numPr>
        <w:spacing w:after="0"/>
        <w:ind w:left="0" w:hanging="566"/>
      </w:pPr>
      <w:r>
        <w:rPr>
          <w:rtl w:val="0"/>
        </w:rPr>
        <w:t xml:space="preserve">Resulta particularmente relevante lo ocurrido con PYMAR —la asociación española que nuclea a Pequeños y Medianos Astilleros en Reconversión del sector naval y de la que CARDAMA forma parte—, que intervino inicialmente en las gestiones destinadas a procurar las garantías. Según informó su Director Corporativo Financiero en nota de fecha 4 de abril de 2024, </w:t>
      </w:r>
      <w:r>
        <w:rPr>
          <w:i/>
          <w:iCs/>
          <w:rtl w:val="0"/>
        </w:rPr>
        <w:t>“En el presente caso, se realizó un estudio preliminar de la operación por parte de los servicios técnicos de PUMAR, que finalmente fue interrumpido tras la confirmación, por parte de CARDAMA, que haber obtenido las garantías necesarias por vía alternativa a PYMAR.”</w:t>
      </w:r>
      <w:r>
        <w:rPr>
          <w:rtl w:val="0"/>
        </w:rPr>
        <w:t xml:space="preserve"> La información resulta significativa porque, a esa fecha, Cardama no había obtenido las garantías exigidas por el contrato. Por el contrario, las propuestas de Redbridge y Euro Exim Bank continuaban siendo objeto de observaciones sustanciales por parte del MDN y del Estudio Delpiazzo. Existe, por tanto, una contradicción relevante entre lo que Cardama comunicó a PYMAR y la situación que efectivamente mantenía ante el Estado uruguayo en relación con el cumplimiento de sus obligaciones contractuales. En consecuencia, mientras Cardama comunicaba a PYMAR que las garantías ya habían sido obtenidas por una vía alternativa, ante el Estado uruguayo continuaba un proceso de presentación, observación y reformulación de documentos que todavía no cumplían con las exigencias contractuales.</w:t>
      </w:r>
    </w:p>
    <w:p w14:paraId="0000009C">
      <w:pPr>
        <w:numPr>
          <w:ilvl w:val="0"/>
          <w:numId w:val="1"/>
        </w:numPr>
        <w:spacing w:after="0"/>
        <w:ind w:left="0" w:hanging="566"/>
      </w:pPr>
      <w:r>
        <w:rPr>
          <w:rtl w:val="0"/>
        </w:rPr>
        <w:t>La documentación permite reconstruir cómo se llegó a esa situación. Surge de una comunicación de fecha 24 de febrero de 2024 que Cardama había tomado contacto con el grupo de brokers de reaseguros Som.us, procurando avanzar en la obtención de las garantías. Apenas cuatro días después, el 28 de febrero, la empresa informó al MDN que había “finalizado las negociaciones” con Redbridge y que dicha compañía se encontraba en condiciones de emitir las garantías requeridas, tanto la de fiel cumplimiento como la de reembolso.</w:t>
      </w:r>
    </w:p>
    <w:p w14:paraId="0000009D">
      <w:pPr>
        <w:numPr>
          <w:ilvl w:val="0"/>
          <w:numId w:val="1"/>
        </w:numPr>
        <w:spacing w:after="0"/>
        <w:ind w:left="0" w:hanging="566"/>
      </w:pPr>
      <w:r>
        <w:rPr>
          <w:rtl w:val="0"/>
        </w:rPr>
        <w:t>Sin embargo, el 5 de marzo Cardama presentó un supuesto borrador de garantía cuyo documento llevaba el membrete de Som.us, mientras que en su contenido el asegurador aparecía identificado como “Redbrige Insurance Company Limited”. La inconsistencia no resulta menor, en tanto la propia entidad que supuestamente emitiría la garantía aparecía identificada con un error en su denominación. Al día siguiente, 6 de marzo, CARDAMA remitió esencialmente el mismo texto, esta vez bajo el membrete de Redbridge Insurance Company Ltd.; no obstante, el documento continuaba identificando al asegurador como “Redbrige”, omitiendo la segunda “d” que sí aparecía en el membrete de la compañía.</w:t>
      </w:r>
    </w:p>
    <w:p w14:paraId="0000009E">
      <w:pPr>
        <w:numPr>
          <w:ilvl w:val="0"/>
          <w:numId w:val="1"/>
        </w:numPr>
        <w:spacing w:after="0"/>
        <w:ind w:left="0" w:hanging="566"/>
      </w:pPr>
      <w:r>
        <w:rPr>
          <w:rtl w:val="0"/>
        </w:rPr>
        <w:t>En consecuencia, en un lapso de apenas 48 horas, un mismo texto de garantía apareció primero bajo el membrete de un broker de reaseguros y luego bajo el de la supuesta compañía aseguradora, mientras el nombre de esta última continuaba consignándose incorrectamente dentro del propio documento.</w:t>
      </w:r>
    </w:p>
    <w:p w14:paraId="0000009F">
      <w:pPr>
        <w:numPr>
          <w:ilvl w:val="0"/>
          <w:numId w:val="1"/>
        </w:numPr>
        <w:spacing w:after="0"/>
        <w:ind w:left="0" w:hanging="566"/>
      </w:pPr>
      <w:r>
        <w:rPr>
          <w:rtl w:val="0"/>
        </w:rPr>
        <w:t>Las inconsistencias no se limitaban a esos aspectos formales. La garantía de fiel cumplimiento debía ser bancaria y a primer requerimiento, y el documento presentado por CARDAMA no reunía ninguna de esas características en los términos exigidos por el contrato. De este modo, lo que el 28 de febrero había sido anunciado como una garantía que Redbridge se encontraba en condiciones de emitir se tradujo, pocos días después, en un documento preliminar, de origen y autoría poco claros, con errores elementales de identificación y con condiciones jurídicas incompatibles con las exigencias contractuales. La secuencia muestra un patrón que volvería a repetirse: primero se anunciaba que la solución había sido obtenida; luego se presentaba un borrador que, al ser examinado, revelaba nuevas inconsistencias y debía ser observado o reformulado.</w:t>
      </w:r>
    </w:p>
    <w:p w14:paraId="000000A0">
      <w:pPr>
        <w:numPr>
          <w:ilvl w:val="0"/>
          <w:numId w:val="1"/>
        </w:numPr>
        <w:spacing w:after="0"/>
        <w:ind w:left="0" w:hanging="566"/>
      </w:pPr>
      <w:r>
        <w:rPr>
          <w:rtl w:val="0"/>
        </w:rPr>
        <w:t>El 11 de marzo apareció una nueva alternativa: Euro Exim Bank. El documento presentado generó nuevamente serios interrogantes. Se sometía a la jurisdicción de Santa Lucía, contenía una cláusula según la cual la indemnización sería pagada al propio contratista, Cardama, y remitía a términos y condiciones del banco cuyo contenido no había sido informado. Frente a estas circunstancias, el mismo 11 de marzo el MDN decidió recurrir al Banco Central del Uruguay y solicitar información sobre las entidades que se estaban considerando para respaldar las garantías —Euro Exim Bank y Redbridge Insurance Company Ltd.—, tal como se desarrolla en otro apartado.</w:t>
      </w:r>
    </w:p>
    <w:p w14:paraId="000000A1">
      <w:pPr>
        <w:numPr>
          <w:ilvl w:val="0"/>
          <w:numId w:val="1"/>
        </w:numPr>
        <w:spacing w:after="0"/>
        <w:ind w:left="0" w:hanging="566"/>
      </w:pPr>
      <w:r>
        <w:rPr>
          <w:rtl w:val="0"/>
        </w:rPr>
        <w:t>El 13 de marzo, el MDN formuló distintas puntualizaciones respecto del aval de Euro Exim Bank. Entre otros aspectos, señaló que la garantía no podía quedar condicionada a la aceptación del banco, que debían conocerse los términos generales de la institución, que debía aclararse la exigencia de presentar el reclamo en Santa Lucía y que la jurisdicción aplicable debía ser la uruguaya. Sin embargo, al día siguiente Cardama volvió a presentar documentación que mantenía precisamente esas deficiencias. Además, las versiones en español e inglés del documento presentaban diferencias sustanciales y no constituían una traducción literal, mientras que el certificado de Redbridge tampoco contaba con certificación notarial de firmas ni apostilla.</w:t>
      </w:r>
    </w:p>
    <w:p w14:paraId="000000A2">
      <w:pPr>
        <w:numPr>
          <w:ilvl w:val="0"/>
          <w:numId w:val="1"/>
        </w:numPr>
        <w:spacing w:after="0"/>
        <w:ind w:left="0" w:hanging="566"/>
      </w:pPr>
      <w:r>
        <w:rPr>
          <w:rtl w:val="0"/>
        </w:rPr>
        <w:t>El 19 de marzo, el MDN volvió a requerir información sobre Euro Exim Bank y Redbridge, así como calificaciones de riesgo y precisiones sobre las pólizas, siguiendo las sugerencias formuladas por el Estudio Delpiazzo.</w:t>
      </w:r>
    </w:p>
    <w:p w14:paraId="000000A3">
      <w:pPr>
        <w:spacing w:after="0"/>
      </w:pPr>
      <w:r>
        <w:rPr>
          <w:rtl w:val="0"/>
        </w:rPr>
        <w:t>El 21 de marzo, Cardama presentó una calificación de riesgo de Redbridge emitida por AM Best, pese a que el propio BCU ya había advertido que dicha calificadora no figuraba en sus registros como empresa autorizada. En esa misma etapa, Cardama afirmó que determinadas condiciones de Euro Exim Bank serían eliminadas, aunque el documento acompañado no reflejaba efectivamente esos cambios. El 5 de abril presentó un nuevo modelo de garantía de Redbridge, esta vez limitado al anticipo financiero, que tampoco contaba con certificación de firmas ni legalización, identificaba nuevamente de forma incorrecta al asegurador como “Redbrige” y mantenía condiciones que comprometían seriamente su ejecutabilidad.</w:t>
      </w:r>
    </w:p>
    <w:p w14:paraId="000000A4">
      <w:pPr>
        <w:numPr>
          <w:ilvl w:val="0"/>
          <w:numId w:val="1"/>
        </w:numPr>
        <w:spacing w:after="0"/>
        <w:ind w:left="0" w:hanging="566"/>
      </w:pPr>
      <w:r>
        <w:rPr>
          <w:rtl w:val="0"/>
        </w:rPr>
        <w:t>Tres días después, el 8 de abril, Cardama remitió un nuevo borrador de Euro Exim Bank. Persistían la jurisdicción de Santa Lucía, la exigencia de presentar el reclamo en los mostradores de la institución y, especialmente, la ausencia de una verdadera garantía a primer requerimiento. El documento establecía incluso que el banco pagaría “al vencimiento de la garantía”, fijando como momento de exigibilidad precisamente aquel en que esta dejaba de estar vigente. A ello se sumaba la exigencia de que el beneficiario agotara previamente las vías civiles, penales o arbitrales contra el asegurado, condición incompatible con la lógica de una garantía a primer requerimiento y que la convertía, en los hechos, en un mecanismo condicionado y de muy difícil ejecución.</w:t>
      </w:r>
    </w:p>
    <w:p w14:paraId="000000A5">
      <w:pPr>
        <w:numPr>
          <w:ilvl w:val="0"/>
          <w:numId w:val="1"/>
        </w:numPr>
        <w:spacing w:after="0"/>
        <w:ind w:left="0" w:hanging="566"/>
      </w:pPr>
      <w:r>
        <w:rPr>
          <w:rtl w:val="0"/>
        </w:rPr>
        <w:t>El 9 de abril, el Estudio Delpiazzo realizó la valoración jurídica de las garantías. Respecto de la garantía de fiel cumplimiento de Euro Exim Bank concluyó que las condiciones incluidas impedían calificarla como una garantía a primer requerimiento, entre ellas la exigencia de confirmación previa del banco, la acreditación del incumplimiento total del ordenante y el agotamiento de los recursos contra Cardama antes de reclamar al banco. La conclusión era inequívoca: la garantía no cumplía con lo pactado en el contrato. A pesar de ello, el proceso continuó.</w:t>
      </w:r>
    </w:p>
    <w:p w14:paraId="000000A6">
      <w:pPr>
        <w:numPr>
          <w:ilvl w:val="0"/>
          <w:numId w:val="1"/>
        </w:numPr>
        <w:spacing w:after="0"/>
        <w:ind w:left="0" w:hanging="566"/>
      </w:pPr>
      <w:r>
        <w:rPr>
          <w:rtl w:val="0"/>
        </w:rPr>
        <w:t>El 23 de abril, Cardama presentó una nueva redacción de la cláusula cuestionada, aunque mantuvo la disposición según la cual el banco se obligaría a pagar “upon expiry of this guaranty”. El 30 de abril, el Estudio Delpiazzo volvió a señalar que la modificación era insuficiente y que persistían condiciones incompatibles con una garantía a primer requerimiento. Finalmente, el 8 de mayo, Cardama informó que Euro Exim Bank no podía realizar las modificaciones solicitadas. A pesar de ello, sostuvo que Redbridge podría emitir una póliza de seguro que operaría como reaseguro del aval bancario y concluyó que, a su entender, “estaríamos de esta manera cumpliendo con los requisitos del contrato”.</w:t>
      </w:r>
    </w:p>
    <w:p w14:paraId="000000A7">
      <w:pPr>
        <w:numPr>
          <w:ilvl w:val="0"/>
          <w:numId w:val="1"/>
        </w:numPr>
        <w:spacing w:after="0"/>
        <w:ind w:left="0" w:hanging="566"/>
      </w:pPr>
      <w:r>
        <w:rPr>
          <w:rtl w:val="0"/>
        </w:rPr>
        <w:t>La documentación analizada por esta Comisión demuestra lo contrario: los requisitos del contrato continuaban sin cumplirse. La sucesión de comunicaciones posteriores confirma, además, que Cardama siguió anunciando nuevas alternativas sin que ninguna de ellas hubiera sido efectivamente aceptada por el MDN.</w:t>
      </w:r>
    </w:p>
    <w:p w14:paraId="000000A8">
      <w:pPr>
        <w:numPr>
          <w:ilvl w:val="0"/>
          <w:numId w:val="1"/>
        </w:numPr>
        <w:spacing w:after="0"/>
        <w:ind w:left="0" w:hanging="566"/>
      </w:pPr>
      <w:r>
        <w:rPr>
          <w:rtl w:val="0"/>
        </w:rPr>
        <w:t>En julio apareció una nueva propuesta, esta vez atribuida a Société Générale Camerún. Una vez más, el documento presentado por Cardama reproducía deficiencias ya observadas en propuestas anteriores: errores de redacción, fórmulas manifiestamente inconsistentes y, particularmente, la inexplicable previsión de que la garantía sería exigible recién luego de su vencimiento. Asimismo, condicionaba el pago a la intervención del propio deudor, desnaturalizando nuevamente el carácter de garantía a primer requerimiento.</w:t>
      </w:r>
    </w:p>
    <w:p w14:paraId="000000A9">
      <w:pPr>
        <w:numPr>
          <w:ilvl w:val="0"/>
          <w:numId w:val="1"/>
        </w:numPr>
        <w:spacing w:after="0"/>
        <w:ind w:left="0" w:hanging="566"/>
      </w:pPr>
      <w:r>
        <w:rPr>
          <w:rtl w:val="0"/>
        </w:rPr>
        <w:t xml:space="preserve">Este episodio adquirió posteriormente una gravedad sustancialmente mayor a partir de la información publicada por </w:t>
      </w:r>
      <w:r>
        <w:rPr>
          <w:i/>
          <w:iCs/>
          <w:rtl w:val="0"/>
        </w:rPr>
        <w:t>Búsqueda</w:t>
      </w:r>
      <w:r>
        <w:rPr>
          <w:rtl w:val="0"/>
        </w:rPr>
        <w:t>. Consultada por ese medio, Société Générale negó haber emitido el documento presentado por Cardama ante el Ministerio de Defensa. Asimismo, fuentes con conocimiento de la cartera de clientes de la sucursal camerunesa señalaron que ni Cardama ni Heritage Capital Cameroon —la entidad que aparecía como “aplicante” de la garantía— eran clientes.</w:t>
      </w:r>
    </w:p>
    <w:p w14:paraId="000000AA">
      <w:pPr>
        <w:numPr>
          <w:ilvl w:val="0"/>
          <w:numId w:val="1"/>
        </w:numPr>
        <w:spacing w:after="0"/>
        <w:ind w:left="0" w:hanging="566"/>
      </w:pPr>
      <w:r>
        <w:rPr>
          <w:rtl w:val="0"/>
        </w:rPr>
        <w:t>El dato es particularmente grave porque el 9 de julio de 2024 CARDAMA había comunicado al MDN que Société Générale había “confirmado” la emisión de un aval a primer requerimiento, presentando el documento como respaldo de esa afirmación. Sin embargo, el propio documento llevaba una marca de agua que indicaba “solo borrador-sin validez”, y posteriormente el banco negó haberlo emitido. Este episodio constituye una nueva manifestación de una conducta que se repitió a lo largo del proceso: Cardama presentaba ante la Administración soluciones que anunciaba como obtenidas o próximas a concretarse, cuando la documentación disponible no permitía sostener esas afirmaciones. En este caso, la distancia entre lo comunicado por la empresa y la realidad documental resulta especialmente significativa, porque se atribuyó a una institución financiera internacional la confirmación de una garantía que figuraba expresamente como un borrador sin validez y cuya emisión fue luego desconocida por la propia entidad.</w:t>
      </w:r>
    </w:p>
    <w:p w14:paraId="000000AB">
      <w:pPr>
        <w:numPr>
          <w:ilvl w:val="0"/>
          <w:numId w:val="1"/>
        </w:numPr>
        <w:spacing w:after="0"/>
        <w:ind w:left="0" w:hanging="566"/>
      </w:pPr>
      <w:r>
        <w:rPr>
          <w:rtl w:val="0"/>
        </w:rPr>
        <w:t>La secuencia permite advertir un cambio cualitativo en la conducta de Cardama. Hasta ese momento, la Administración había recibido borradores defectuosos, incompletos o jurídicamente inaceptables. A partir de este episodio aparece un elemento de mayor gravedad: un documento presentado ante el Estado como parte de una negociación con una institución financiera internacional cuya emisión fue posteriormente desconocida por la propia entidad a la que se atribuía. La situación ya no se limitaba, por tanto, a una garantía que incumplía las condiciones contractuales, sino que comprendía también un documento cuya procedencia fue expresamente negada por la institución que aparecía como emisora.</w:t>
      </w:r>
    </w:p>
    <w:p w14:paraId="000000AC">
      <w:pPr>
        <w:numPr>
          <w:ilvl w:val="0"/>
          <w:numId w:val="1"/>
        </w:numPr>
        <w:spacing w:after="0"/>
        <w:ind w:left="0" w:hanging="566"/>
      </w:pPr>
      <w:r>
        <w:rPr>
          <w:rtl w:val="0"/>
        </w:rPr>
        <w:t>El 13 de julio, Cardama afirmó que estaba en condiciones de emitir un aval a primer requerimiento a través de Société Générale y que, a su entender, cumplía “totalmente” con los requisitos del contrato. Al mismo tiempo, informó que continuaba aguardando una respuesta de Euro Exim Bank y que avanzaban gestiones con instituciones financieras uruguayas.</w:t>
      </w:r>
    </w:p>
    <w:p w14:paraId="000000AD">
      <w:pPr>
        <w:numPr>
          <w:ilvl w:val="0"/>
          <w:numId w:val="1"/>
        </w:numPr>
        <w:spacing w:after="0"/>
        <w:ind w:left="0" w:hanging="566"/>
      </w:pPr>
      <w:r>
        <w:rPr>
          <w:rtl w:val="0"/>
        </w:rPr>
        <w:t>El 14 de agosto, Cardama llegó incluso a afirmar públicamente que había presentado, hacía más de un mes, un aval a primer requerimiento que cumplía con el contrato. Sin embargo, la reconstrucción documental realizada por esta Comisión no permite corroborar esa afirmación. Por el contrario, los documentos efectivamente presentados habían sido objeto de observaciones y ninguno había cumplido integralmente con las condiciones contractuales exigidas.</w:t>
      </w:r>
    </w:p>
    <w:p w14:paraId="000000AE">
      <w:pPr>
        <w:numPr>
          <w:ilvl w:val="0"/>
          <w:numId w:val="1"/>
        </w:numPr>
        <w:spacing w:after="0"/>
        <w:ind w:left="0" w:hanging="566"/>
      </w:pPr>
      <w:r>
        <w:rPr>
          <w:rtl w:val="0"/>
        </w:rPr>
        <w:t>Durante agosto y setiembre surgieron nuevas alternativas: Parcilar, Bank Winter and Co. Vienna, Eurocommerce Ltd. e incluso la posibilidad de realizar un depósito en efectivo.</w:t>
      </w:r>
    </w:p>
    <w:p w14:paraId="000000AF">
      <w:pPr>
        <w:numPr>
          <w:ilvl w:val="0"/>
          <w:numId w:val="1"/>
        </w:numPr>
        <w:spacing w:after="0"/>
        <w:ind w:left="0" w:hanging="566"/>
      </w:pPr>
      <w:r>
        <w:rPr>
          <w:rtl w:val="0"/>
        </w:rPr>
        <w:t>El 6 de setiembre, el Estudio Delpiazzo volvió a advertir que los plazos se encontraban vencidos y que los documentos presentados no cumplían con las exigencias contractuales. Respecto de Bank Winter and Co., señaló que el documento era genérico, que el reclamo debía ser refrendado por Cardama y que, de ese modo, la garantía quedaba condicionada a la aprobación del propio incumplidor. En relación con Eurocommerce, observó nuevamente problemas vinculados al plazo, la exigencia de confirmación del solicitante y la contradicción entre una garantía “a primer requerimiento” y una garantía exigible luego de su expiración. La conclusión del Estudio Delpiazzo fue categórica: “los borradores de garantía enviados no cumplen con las exigencias contractuales. A la fecha, no se ha cumplido con constituir la garantía, habiéndose vencido el plazo de tolerancia brindado”.</w:t>
      </w:r>
      <w:r>
        <w:rPr>
          <w:rtl w:val="0"/>
        </w:rPr>
        <w:br w:type="textWrapping"/>
      </w:r>
      <w:r>
        <w:rPr>
          <w:rtl w:val="0"/>
        </w:rPr>
        <w:t>Este punto resulta central para la valoración política del proceso. Durante meses, Cardama no presentó una garantía válida, sino sucesivos borradores. Y esos borradores no constituían simples versiones preliminares a la espera de ajustes menores: en reiteradas oportunidades contenían condiciones incompatibles con la obligación asumida, errores elementales, contradicciones jurídicas y mecanismos que podían tornar inejecutable la garantía.</w:t>
      </w:r>
    </w:p>
    <w:p w14:paraId="000000B0">
      <w:pPr>
        <w:numPr>
          <w:ilvl w:val="0"/>
          <w:numId w:val="1"/>
        </w:numPr>
        <w:spacing w:after="0"/>
        <w:ind w:left="0" w:hanging="566"/>
      </w:pPr>
      <w:r>
        <w:rPr>
          <w:rtl w:val="0"/>
        </w:rPr>
        <w:t>Considerada en su conjunto, la conducta de Cardama revela, como mínimo, un grado de negligencia e inexperiencia difícilmente compatible con el estándar de diligencia exigible a quien asume la construcción de bienes estratégicos para un Estado y celebra un contrato de € 82.270.000. La diligencia exigible no se satisface con la mera presentación final de un documento, sino con la capacidad de cumplir en tiempo y forma las obligaciones asumidas. Durante meses, la Administración recibió una sucesión de documentos defectuosos, incompatibles con el contrato o directamente incomprensibles en aspectos esenciales. Las sucesivas explicaciones, el anuncio de nuevas entidades y la presentación de nuevos borradores no pueden analizarse, por tanto, como episodios aislados: en su conjunto, muestran una conducta sostenida de incumplimiento y una reiterada incapacidad para constituir una garantía que reuniera las condiciones pactadas.</w:t>
      </w:r>
      <w:r>
        <w:rPr>
          <w:rtl w:val="0"/>
        </w:rPr>
        <w:br w:type="textWrapping"/>
      </w:r>
      <w:r>
        <w:rPr>
          <w:rtl w:val="0"/>
        </w:rPr>
        <w:t>Esta secuencia permite identificar, además, dos planos de responsabilidad que deben analizarse de manera conjunta: por un lado, la conducta de Cardama, que durante meses no logró constituir las garantías exigidas y presentó sucesivamente documentos con graves inconsistencias; por otro, la actuación de las autoridades, que, pese a constatar reiteradamente esas deficiencias, decidieron mantener abierto el proceso y no aplicar las consecuencias contractuales correspondientes.</w:t>
      </w:r>
    </w:p>
    <w:p w14:paraId="000000B1">
      <w:pPr>
        <w:numPr>
          <w:ilvl w:val="0"/>
          <w:numId w:val="1"/>
        </w:numPr>
        <w:spacing w:after="0"/>
        <w:ind w:left="0" w:hanging="566"/>
      </w:pPr>
      <w:r>
        <w:rPr>
          <w:rtl w:val="0"/>
        </w:rPr>
        <w:t>Es precisamente en la interacción entre ambas conductas donde comienza a configurarse el problema que posteriormente enfrentaría el Estado: un contratista que incumplía y una Administración que, pese a comprobarlo de forma reiterada, continuaba concediéndole nuevas oportunidades para subsanar ese incumplimiento. La garantía falsa constituye, así, el último eslabón de una cadena previa de incumplimientos, advertencias, observaciones, prórrogas y decisiones administrativas que permitieron que Cardama continuara avanzando cuando el propio contrato y los informes incorporados al proceso ya ofrecían elementos suficientes para adoptar una definición.</w:t>
      </w:r>
    </w:p>
    <w:p w14:paraId="000000B2">
      <w:pPr>
        <w:numPr>
          <w:ilvl w:val="0"/>
          <w:numId w:val="1"/>
        </w:numPr>
        <w:ind w:left="0" w:hanging="566"/>
      </w:pPr>
      <w:r>
        <w:rPr>
          <w:rtl w:val="0"/>
        </w:rPr>
        <w:t>A continuación, la lista de documentos que Cardama presentó ante el Ministerio de Defensa Nacional como propuesta de “garantías”:</w:t>
      </w:r>
    </w:p>
    <w:tbl>
      <w:tblPr>
        <w:tblStyle w:val="25"/>
        <w:tblW w:w="900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100" w:type="dxa"/>
          <w:left w:w="100" w:type="dxa"/>
          <w:bottom w:w="100" w:type="dxa"/>
          <w:right w:w="100" w:type="dxa"/>
        </w:tblCellMar>
      </w:tblPr>
      <w:tblGrid>
        <w:gridCol w:w="2220"/>
        <w:gridCol w:w="6780"/>
      </w:tblGrid>
      <w:tr w14:paraId="4590E09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shd w:val="clear" w:color="auto" w:fill="D9D9D9"/>
            <w:tcMar>
              <w:top w:w="0" w:type="dxa"/>
              <w:left w:w="20" w:type="dxa"/>
              <w:bottom w:w="0" w:type="dxa"/>
              <w:right w:w="20" w:type="dxa"/>
            </w:tcMar>
          </w:tcPr>
          <w:p w14:paraId="000000B3">
            <w:pPr>
              <w:spacing w:after="0"/>
              <w:ind w:left="113" w:right="113" w:firstLine="0"/>
              <w:rPr>
                <w:b/>
                <w:bCs/>
              </w:rPr>
            </w:pPr>
            <w:r>
              <w:rPr>
                <w:b/>
                <w:bCs/>
                <w:rtl w:val="0"/>
              </w:rPr>
              <w:t>Fecha</w:t>
            </w:r>
          </w:p>
        </w:tc>
        <w:tc>
          <w:tcPr>
            <w:tcBorders>
              <w:top w:val="single" w:color="000000" w:sz="6" w:space="0"/>
              <w:left w:val="single" w:color="000000" w:sz="6" w:space="0"/>
              <w:bottom w:val="single" w:color="000000" w:sz="6" w:space="0"/>
              <w:right w:val="single" w:color="000000" w:sz="6" w:space="0"/>
            </w:tcBorders>
            <w:shd w:val="clear" w:color="auto" w:fill="D9D9D9"/>
            <w:tcMar>
              <w:top w:w="0" w:type="dxa"/>
              <w:left w:w="20" w:type="dxa"/>
              <w:bottom w:w="0" w:type="dxa"/>
              <w:right w:w="20" w:type="dxa"/>
            </w:tcMar>
          </w:tcPr>
          <w:p w14:paraId="000000B4">
            <w:pPr>
              <w:spacing w:after="0"/>
              <w:ind w:left="113" w:right="113" w:firstLine="0"/>
              <w:rPr>
                <w:b/>
                <w:bCs/>
              </w:rPr>
            </w:pPr>
            <w:r>
              <w:rPr>
                <w:b/>
                <w:bCs/>
                <w:rtl w:val="0"/>
              </w:rPr>
              <w:t>Propuesta</w:t>
            </w:r>
          </w:p>
        </w:tc>
      </w:tr>
      <w:tr w14:paraId="4520C1F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B5">
            <w:pPr>
              <w:spacing w:after="0"/>
              <w:ind w:left="113" w:right="113" w:firstLine="0"/>
            </w:pPr>
            <w:r>
              <w:rPr>
                <w:rtl w:val="0"/>
              </w:rPr>
              <w:t>25/01/2024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B6">
            <w:pPr>
              <w:spacing w:after="0"/>
              <w:ind w:left="113" w:right="113" w:firstLine="0"/>
            </w:pPr>
            <w:r>
              <w:rPr>
                <w:rtl w:val="0"/>
              </w:rPr>
              <w:t>Banco de Seguros del Estado (Uruguay) y PYMAR (España)</w:t>
            </w:r>
          </w:p>
        </w:tc>
      </w:tr>
      <w:tr w14:paraId="3FED4EE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B7">
            <w:pPr>
              <w:spacing w:after="0"/>
              <w:ind w:left="113" w:right="113" w:firstLine="0"/>
            </w:pPr>
            <w:r>
              <w:rPr>
                <w:rtl w:val="0"/>
              </w:rPr>
              <w:t>24/02/2024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B8">
            <w:pPr>
              <w:spacing w:after="0"/>
              <w:ind w:left="113" w:right="113" w:firstLine="0"/>
            </w:pPr>
            <w:r>
              <w:rPr>
                <w:rtl w:val="0"/>
              </w:rPr>
              <w:t>Banco de Seguros del Estado</w:t>
            </w:r>
          </w:p>
        </w:tc>
      </w:tr>
      <w:tr w14:paraId="15C3236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B9">
            <w:pPr>
              <w:spacing w:after="0"/>
              <w:ind w:left="113" w:right="113" w:firstLine="0"/>
            </w:pPr>
            <w:r>
              <w:rPr>
                <w:rtl w:val="0"/>
              </w:rPr>
              <w:t>28/02/2024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BA">
            <w:pPr>
              <w:spacing w:after="0"/>
              <w:ind w:left="113" w:right="113" w:firstLine="0"/>
            </w:pPr>
            <w:r>
              <w:rPr>
                <w:rtl w:val="0"/>
              </w:rPr>
              <w:t>Redbridge Insurance Company</w:t>
            </w:r>
          </w:p>
        </w:tc>
      </w:tr>
      <w:tr w14:paraId="0F95364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BB">
            <w:pPr>
              <w:spacing w:after="0"/>
              <w:ind w:left="113" w:right="113" w:firstLine="0"/>
            </w:pPr>
            <w:r>
              <w:rPr>
                <w:rtl w:val="0"/>
              </w:rPr>
              <w:t>05 y 06/03/2024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BC">
            <w:pPr>
              <w:spacing w:after="0"/>
              <w:ind w:left="113" w:right="113" w:firstLine="0"/>
            </w:pPr>
            <w:r>
              <w:rPr>
                <w:rtl w:val="0"/>
              </w:rPr>
              <w:t>"Som.us" / Redbridge Insurance Co. Ltd.</w:t>
            </w:r>
          </w:p>
        </w:tc>
      </w:tr>
      <w:tr w14:paraId="0067DFB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BD">
            <w:pPr>
              <w:spacing w:after="0"/>
              <w:ind w:left="113" w:right="113" w:firstLine="0"/>
            </w:pPr>
            <w:r>
              <w:rPr>
                <w:rtl w:val="0"/>
              </w:rPr>
              <w:t>11/03/2024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BE">
            <w:pPr>
              <w:spacing w:after="0"/>
              <w:ind w:left="113" w:right="113" w:firstLine="0"/>
            </w:pPr>
            <w:r>
              <w:rPr>
                <w:rtl w:val="0"/>
              </w:rPr>
              <w:t>Euro Exim Bank</w:t>
            </w:r>
          </w:p>
        </w:tc>
      </w:tr>
      <w:tr w14:paraId="3333FD0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BF">
            <w:pPr>
              <w:spacing w:after="0"/>
              <w:ind w:left="113" w:right="113" w:firstLine="0"/>
            </w:pPr>
            <w:r>
              <w:rPr>
                <w:rtl w:val="0"/>
              </w:rPr>
              <w:t>14/03/2024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0">
            <w:pPr>
              <w:spacing w:after="0"/>
              <w:ind w:left="113" w:right="113" w:firstLine="0"/>
            </w:pPr>
            <w:r>
              <w:rPr>
                <w:rtl w:val="0"/>
              </w:rPr>
              <w:t>Redbridge / Euro Exim Bank</w:t>
            </w:r>
          </w:p>
        </w:tc>
      </w:tr>
      <w:tr w14:paraId="6B1595A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1">
            <w:pPr>
              <w:spacing w:after="0"/>
              <w:ind w:left="113" w:right="113" w:firstLine="0"/>
            </w:pPr>
            <w:r>
              <w:rPr>
                <w:rtl w:val="0"/>
              </w:rPr>
              <w:t>01/04/2024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2">
            <w:pPr>
              <w:spacing w:after="0"/>
              <w:ind w:left="113" w:right="113" w:firstLine="0"/>
            </w:pPr>
            <w:r>
              <w:rPr>
                <w:rtl w:val="0"/>
              </w:rPr>
              <w:t>PYMAR</w:t>
            </w:r>
          </w:p>
        </w:tc>
      </w:tr>
      <w:tr w14:paraId="59093DC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3">
            <w:pPr>
              <w:spacing w:after="0"/>
              <w:ind w:left="113" w:right="113" w:firstLine="0"/>
            </w:pPr>
            <w:r>
              <w:rPr>
                <w:rtl w:val="0"/>
              </w:rPr>
              <w:t>07/04/2024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4">
            <w:pPr>
              <w:spacing w:after="0"/>
              <w:ind w:left="113" w:right="113" w:firstLine="0"/>
            </w:pPr>
            <w:r>
              <w:rPr>
                <w:rtl w:val="0"/>
              </w:rPr>
              <w:t>PYMAR</w:t>
            </w:r>
          </w:p>
        </w:tc>
      </w:tr>
      <w:tr w14:paraId="53F5CFE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5">
            <w:pPr>
              <w:spacing w:after="0"/>
              <w:ind w:left="113" w:right="113" w:firstLine="0"/>
            </w:pPr>
            <w:r>
              <w:rPr>
                <w:rtl w:val="0"/>
              </w:rPr>
              <w:t>08/04/2024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6">
            <w:pPr>
              <w:spacing w:after="0"/>
              <w:ind w:left="113" w:right="113" w:firstLine="0"/>
            </w:pPr>
            <w:r>
              <w:rPr>
                <w:rtl w:val="0"/>
              </w:rPr>
              <w:t>Euro Exim Bank</w:t>
            </w:r>
          </w:p>
        </w:tc>
      </w:tr>
      <w:tr w14:paraId="346AB1C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7">
            <w:pPr>
              <w:spacing w:after="0"/>
              <w:ind w:left="113" w:right="113" w:firstLine="0"/>
            </w:pPr>
            <w:r>
              <w:rPr>
                <w:rtl w:val="0"/>
              </w:rPr>
              <w:t>26/04/2024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8">
            <w:pPr>
              <w:spacing w:after="0"/>
              <w:ind w:left="113" w:right="113" w:firstLine="0"/>
            </w:pPr>
            <w:r>
              <w:rPr>
                <w:rtl w:val="0"/>
              </w:rPr>
              <w:t>Euro Exim Bank</w:t>
            </w:r>
          </w:p>
        </w:tc>
      </w:tr>
      <w:tr w14:paraId="31932A5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9">
            <w:pPr>
              <w:spacing w:after="0"/>
              <w:ind w:left="113" w:right="113" w:firstLine="0"/>
            </w:pPr>
            <w:r>
              <w:rPr>
                <w:rtl w:val="0"/>
              </w:rPr>
              <w:t>30/04/2024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A">
            <w:pPr>
              <w:spacing w:after="0"/>
              <w:ind w:left="113" w:right="113" w:firstLine="0"/>
            </w:pPr>
            <w:r>
              <w:rPr>
                <w:rtl w:val="0"/>
              </w:rPr>
              <w:t>Euro Exim Bank</w:t>
            </w:r>
          </w:p>
        </w:tc>
      </w:tr>
      <w:tr w14:paraId="138077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B">
            <w:pPr>
              <w:spacing w:after="0"/>
              <w:ind w:left="113" w:right="113" w:firstLine="0"/>
            </w:pPr>
            <w:r>
              <w:rPr>
                <w:rtl w:val="0"/>
              </w:rPr>
              <w:t>08/05/2024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C">
            <w:pPr>
              <w:spacing w:after="0"/>
              <w:ind w:left="113" w:right="113" w:firstLine="0"/>
            </w:pPr>
            <w:r>
              <w:rPr>
                <w:rtl w:val="0"/>
              </w:rPr>
              <w:t>Euro Exim Bank / Redbridge</w:t>
            </w:r>
          </w:p>
        </w:tc>
      </w:tr>
      <w:tr w14:paraId="280691A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D">
            <w:pPr>
              <w:spacing w:after="0"/>
              <w:ind w:left="113" w:right="113" w:firstLine="0"/>
            </w:pPr>
            <w:r>
              <w:rPr>
                <w:rtl w:val="0"/>
              </w:rPr>
              <w:t>24/05/2024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E">
            <w:pPr>
              <w:spacing w:after="0"/>
              <w:ind w:left="113" w:right="113" w:firstLine="0"/>
            </w:pPr>
            <w:r>
              <w:rPr>
                <w:rtl w:val="0"/>
              </w:rPr>
              <w:t>Euro Exim Bank</w:t>
            </w:r>
          </w:p>
        </w:tc>
      </w:tr>
      <w:tr w14:paraId="362B35B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CF">
            <w:pPr>
              <w:spacing w:after="0"/>
              <w:ind w:left="113" w:right="113" w:firstLine="0"/>
            </w:pPr>
            <w:r>
              <w:rPr>
                <w:rtl w:val="0"/>
              </w:rPr>
              <w:t>14/06/2024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0">
            <w:pPr>
              <w:spacing w:after="0"/>
              <w:ind w:left="113" w:right="113" w:firstLine="0"/>
            </w:pPr>
            <w:r>
              <w:rPr>
                <w:rtl w:val="0"/>
              </w:rPr>
              <w:t>Euro Exim Bank</w:t>
            </w:r>
          </w:p>
        </w:tc>
      </w:tr>
      <w:tr w14:paraId="6DE543F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1">
            <w:pPr>
              <w:spacing w:after="0"/>
              <w:ind w:left="113" w:right="113" w:firstLine="0"/>
            </w:pPr>
            <w:r>
              <w:rPr>
                <w:rtl w:val="0"/>
              </w:rPr>
              <w:t>09/07/2024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2">
            <w:pPr>
              <w:spacing w:after="0"/>
              <w:ind w:left="113" w:right="113" w:firstLine="0"/>
            </w:pPr>
            <w:r>
              <w:rPr>
                <w:rtl w:val="0"/>
              </w:rPr>
              <w:t>Société Générale + entidad financiera uruguaya</w:t>
            </w:r>
          </w:p>
        </w:tc>
      </w:tr>
      <w:tr w14:paraId="3EDE470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3">
            <w:pPr>
              <w:spacing w:after="0"/>
              <w:ind w:left="113" w:right="113" w:firstLine="0"/>
            </w:pPr>
            <w:r>
              <w:rPr>
                <w:rtl w:val="0"/>
              </w:rPr>
              <w:t>13/07/2024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4">
            <w:pPr>
              <w:spacing w:after="0"/>
              <w:ind w:left="113" w:right="113" w:firstLine="0"/>
            </w:pPr>
            <w:r>
              <w:rPr>
                <w:rtl w:val="0"/>
              </w:rPr>
              <w:t>Société Générale (Camerún)</w:t>
            </w:r>
          </w:p>
        </w:tc>
      </w:tr>
      <w:tr w14:paraId="7ED6370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5">
            <w:pPr>
              <w:spacing w:after="0"/>
              <w:ind w:left="113" w:right="113" w:firstLine="0"/>
            </w:pPr>
            <w:r>
              <w:rPr>
                <w:rtl w:val="0"/>
              </w:rPr>
              <w:t>14/08/2024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6">
            <w:pPr>
              <w:spacing w:after="0"/>
              <w:ind w:left="113" w:right="113" w:firstLine="0"/>
            </w:pPr>
            <w:r>
              <w:rPr>
                <w:rtl w:val="0"/>
              </w:rPr>
              <w:t>Organización financiera local (sin identificar)</w:t>
            </w:r>
          </w:p>
        </w:tc>
      </w:tr>
      <w:tr w14:paraId="6D4353B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7">
            <w:pPr>
              <w:spacing w:after="0"/>
              <w:ind w:left="113" w:right="113" w:firstLine="0"/>
            </w:pPr>
            <w:r>
              <w:rPr>
                <w:rtl w:val="0"/>
              </w:rPr>
              <w:t>03/09/2024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8">
            <w:pPr>
              <w:spacing w:after="0"/>
              <w:ind w:left="113" w:right="113" w:firstLine="0"/>
            </w:pPr>
            <w:r>
              <w:rPr>
                <w:rtl w:val="0"/>
              </w:rPr>
              <w:t>ABITAB</w:t>
            </w:r>
          </w:p>
        </w:tc>
      </w:tr>
      <w:tr w14:paraId="206273E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9">
            <w:pPr>
              <w:spacing w:after="0"/>
              <w:ind w:left="113" w:right="113" w:firstLine="0"/>
            </w:pPr>
            <w:r>
              <w:rPr>
                <w:rtl w:val="0"/>
              </w:rPr>
              <w:t>06/09/2024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A">
            <w:pPr>
              <w:spacing w:after="0"/>
              <w:ind w:left="113" w:right="113" w:firstLine="0"/>
            </w:pPr>
            <w:r>
              <w:rPr>
                <w:rtl w:val="0"/>
              </w:rPr>
              <w:t>Eurocommerce Bank / Bank Winter &amp; Co. (Viena)</w:t>
            </w:r>
          </w:p>
        </w:tc>
      </w:tr>
      <w:tr w14:paraId="3561DB3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B">
            <w:pPr>
              <w:spacing w:after="0"/>
              <w:ind w:left="113" w:right="113" w:firstLine="0"/>
            </w:pPr>
            <w:r>
              <w:rPr>
                <w:rtl w:val="0"/>
              </w:rPr>
              <w:t>04/10/2024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C">
            <w:pPr>
              <w:spacing w:after="0"/>
              <w:ind w:left="113" w:right="113" w:firstLine="0"/>
            </w:pPr>
            <w:r>
              <w:rPr>
                <w:rtl w:val="0"/>
              </w:rPr>
              <w:t>Eurocommerce Ltd. / Redbridge</w:t>
            </w:r>
          </w:p>
        </w:tc>
      </w:tr>
      <w:tr w14:paraId="7EAD2AA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D">
            <w:pPr>
              <w:spacing w:after="0"/>
              <w:ind w:left="113" w:right="113" w:firstLine="0"/>
            </w:pPr>
            <w:r>
              <w:rPr>
                <w:rtl w:val="0"/>
              </w:rPr>
              <w:t>14/10/2024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E">
            <w:pPr>
              <w:spacing w:after="0"/>
              <w:ind w:left="113" w:right="113" w:firstLine="0"/>
            </w:pPr>
            <w:r>
              <w:rPr>
                <w:rtl w:val="0"/>
              </w:rPr>
              <w:t>Eurocommerce Ltd. / Redbridge</w:t>
            </w:r>
          </w:p>
        </w:tc>
      </w:tr>
      <w:tr w14:paraId="2DEBAA9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10" w:hRule="atLeast"/>
        </w:trPr>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DF">
            <w:pPr>
              <w:spacing w:after="0"/>
              <w:ind w:left="113" w:right="113" w:firstLine="0"/>
            </w:pPr>
            <w:r>
              <w:rPr>
                <w:rtl w:val="0"/>
              </w:rPr>
              <w:t>23/10/2024</w:t>
            </w:r>
          </w:p>
        </w:tc>
        <w:tc>
          <w:tcPr>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000000E0">
            <w:pPr>
              <w:spacing w:after="0"/>
              <w:ind w:left="113" w:right="113" w:firstLine="0"/>
            </w:pPr>
            <w:r>
              <w:rPr>
                <w:rtl w:val="0"/>
              </w:rPr>
              <w:t>Eurocommerce Ltd. / Redbridge</w:t>
            </w:r>
          </w:p>
        </w:tc>
      </w:tr>
    </w:tbl>
    <w:p w14:paraId="000000E1">
      <w:pPr>
        <w:numPr>
          <w:ilvl w:val="0"/>
          <w:numId w:val="1"/>
        </w:numPr>
        <w:shd w:val="clear" w:fill="FCFCFC"/>
        <w:spacing w:after="0"/>
        <w:ind w:left="0" w:hanging="566"/>
      </w:pPr>
      <w:r>
        <w:rPr>
          <w:rtl w:val="0"/>
        </w:rPr>
        <w:t>En definitiva, la Administración disponía de suficientes antecedentes para advertir las desprolijidades, inconsistencias y señales de riesgo que se repetían en las distintas propuestas de garantía presentadas por Cardama. La reiteración de esas observaciones imponía extremar los controles y adoptar una definición fundada sobre la continuidad del vínculo contractual.</w:t>
      </w:r>
    </w:p>
    <w:p w14:paraId="000000E2">
      <w:pPr>
        <w:pStyle w:val="3"/>
        <w:shd w:val="clear" w:fill="FCFCFC"/>
        <w:rPr>
          <w:u w:val="none"/>
        </w:rPr>
      </w:pPr>
      <w:bookmarkStart w:id="18" w:name="_heading=h.k0bqvck04299" w:colFirst="0" w:colLast="0"/>
      <w:bookmarkEnd w:id="18"/>
      <w:r>
        <w:rPr>
          <w:u w:val="none"/>
          <w:rtl w:val="0"/>
        </w:rPr>
        <w:t>H. ACEPTACIÓN DE GARANTÍAS</w:t>
      </w:r>
    </w:p>
    <w:p w14:paraId="000000E3">
      <w:pPr>
        <w:numPr>
          <w:ilvl w:val="0"/>
          <w:numId w:val="1"/>
        </w:numPr>
        <w:ind w:left="0" w:hanging="566"/>
      </w:pPr>
      <w:r>
        <w:rPr>
          <w:rtl w:val="0"/>
        </w:rPr>
        <w:t>El 4 de octubre de 2024 CARDAMA remitió por correo electrónico el supuesto “Aval de Fiel Cumplimiento y del Anticipo Financiero”, expresando al Dir. Gral. de Secretaría, Dr. Fabián Martínez, y al Dir. Gral. de Recursos Financieros, Cr. Damián Galó: “</w:t>
      </w:r>
      <w:r>
        <w:rPr>
          <w:i/>
          <w:iCs/>
          <w:rtl w:val="0"/>
        </w:rPr>
        <w:t>Rogamos tenga la gentileza de proceder a la firma oficial de aceptación de las mismas y una vez recibidas por nosotros firmadas, procederemos a su emisión oficial</w:t>
      </w:r>
      <w:r>
        <w:rPr>
          <w:rtl w:val="0"/>
        </w:rPr>
        <w:t xml:space="preserve">”. Con fecha 14 de octubre de 2024, el Ministro de Defensa Nacional, Dr. Armando Castaingdebat, comunicó a CARDAMA la aceptación de las garantías propuestas. En su nota expresó: </w:t>
      </w:r>
      <w:r>
        <w:rPr>
          <w:i/>
          <w:iCs/>
          <w:rtl w:val="0"/>
        </w:rPr>
        <w:t>“Por la presente, y habiéndose analizado por parte del Estudio Delpiazzo los borradores de avales remitidos a través de correo electrónico de fecha 4 de octubre de 2024, tengo el agrado de comunicar a usted que estamos en condiciones de continuar con el proceso de entrada en vigor del contrato, por lo que se solicita se remitan las garantías originales a este Ministerio.”</w:t>
      </w:r>
    </w:p>
    <w:p w14:paraId="000000E4">
      <w:pPr>
        <w:numPr>
          <w:ilvl w:val="0"/>
          <w:numId w:val="1"/>
        </w:numPr>
        <w:ind w:left="0" w:hanging="566"/>
      </w:pPr>
      <w:r>
        <w:rPr>
          <w:rtl w:val="0"/>
        </w:rPr>
        <w:t>El 23 de octubre Cardama entregó los documentos y el Dr. DELPIAZZO constató que “</w:t>
      </w:r>
      <w:r>
        <w:rPr>
          <w:i/>
          <w:iCs/>
          <w:rtl w:val="0"/>
        </w:rPr>
        <w:t>los mismos son fotocopia simple. En ese sentido, no son hábiles para acreditar su constitución, para lo cual deberá acreditarse el documento original o testimonio notarial, certificando de quien suscribe por cada entidad y el control de su representación con facultades para emitir las respectivas garantías</w:t>
      </w:r>
      <w:r>
        <w:rPr>
          <w:rtl w:val="0"/>
        </w:rPr>
        <w:t>” (correo del 28 de octubre, dirigido al Cr. GALÓ). Este punto resultará especialmente relevante, ya que la documentación notarial destinada a certificar la firma de la supuesta garantía sería posteriormente adulterada.</w:t>
      </w:r>
    </w:p>
    <w:p w14:paraId="000000E5">
      <w:pPr>
        <w:numPr>
          <w:ilvl w:val="0"/>
          <w:numId w:val="1"/>
        </w:numPr>
        <w:ind w:left="0" w:hanging="566"/>
      </w:pPr>
      <w:r>
        <w:rPr>
          <w:rtl w:val="0"/>
        </w:rPr>
        <w:t>La distinción entre el borrador y la garantía efectivamente constituida resulta central. El documento que debía otorgar seguridad jurídica al Estado era la garantía original, debidamente emitida, firmada, legalizada y acompañada de las formalidades necesarias para acreditar en Uruguay la existencia de las entidades garantes, la representación de quienes actuaban en su nombre y las facultades para obligarlas. Como se verá posteriormente, los documentos presentados no contaban con las formalidades necesarias para acreditar en nuestro país esas calidades y facultades de representación. Existía, por tanto, una diferencia sustancial entre la aceptación de los borradores y la verificación de que las garantías efectivamente constituidas fueran jurídicamente válidas y eficaces.</w:t>
      </w:r>
    </w:p>
    <w:p w14:paraId="000000E6">
      <w:pPr>
        <w:numPr>
          <w:ilvl w:val="0"/>
          <w:numId w:val="1"/>
        </w:numPr>
        <w:ind w:left="0" w:hanging="566"/>
      </w:pPr>
      <w:r>
        <w:rPr>
          <w:rtl w:val="0"/>
        </w:rPr>
        <w:t>Esta cuestión adquiere particular gravedad si se considera el desarrollo previo del proceso. Cardama no había presentado desde el comienzo garantías claras, completas y jurídicamente incuestionables; por el contrario, durante meses se habían detectado reiteradamente errores, contradicciones y apartamientos de las condiciones contractuales. En ese contexto, la remisión de los originales debía constituir la instancia final y más exigente de verificación, y no una mera formalidad posterior a la aceptación de los borradores. La secuencia reconstruida por la Comisión muestra que primero se aceptaron los borradores, luego se solicitaron los originales y, finalmente, cuando estos fueron presentados, tampoco reunían las formalidades necesarias para acreditar su autenticidad y la representación de quienes los suscribían en Uruguay.</w:t>
      </w:r>
    </w:p>
    <w:p w14:paraId="000000E7">
      <w:pPr>
        <w:numPr>
          <w:ilvl w:val="0"/>
          <w:numId w:val="1"/>
        </w:numPr>
        <w:ind w:left="0" w:hanging="566"/>
      </w:pPr>
      <w:r>
        <w:rPr>
          <w:rtl w:val="0"/>
        </w:rPr>
        <w:t>En consecuencia, no podía considerarse cumplida una obligación contractual de esta magnitud sin verificar previamente que quienes suscribían las garantías tenían debidamente acreditadas sus facultades para obligar a las entidades que supuestamente representaban. El problema, por tanto, no se limitó a la calidad de las garantías presentadas, sino que alcanzó también al estándar de control aplicado por la Administración en una etapa decisiva para la entrada en vigor del contrato.</w:t>
      </w:r>
    </w:p>
    <w:p w14:paraId="000000E8">
      <w:pPr>
        <w:numPr>
          <w:ilvl w:val="0"/>
          <w:numId w:val="1"/>
        </w:numPr>
        <w:ind w:left="0" w:hanging="566"/>
      </w:pPr>
      <w:r>
        <w:rPr>
          <w:rtl w:val="0"/>
        </w:rPr>
        <w:t xml:space="preserve">A lo anterior se suma un elemento que quedó claramente establecido en la Comisión y que resulta central para determinar dónde estuvo efectivamente radicada la responsabilidad por la aceptación de las garantías. El Estudio Delpiazzo nunca avaló ni aprobó las garantías presentadas por Cardama. Su intervención tuvo un alcance estrictamente jurídico: verificar si el contenido de los documentos remitidos se ajustaba a las exigencias establecidas en el contrato. Así lo explicó el propio Dr. José Miguel Delpiazzo ante esta Comisión: </w:t>
      </w:r>
      <w:r>
        <w:rPr>
          <w:i/>
          <w:iCs/>
          <w:rtl w:val="0"/>
        </w:rPr>
        <w:t>“Nuestro análisis era meramente jurídico a fin de constatar el documento con las exigencias del contrato, aclarando que no estábamos en condiciones de analizar solvencia o antecedentes de entidades financieras o bancarias. (…) Entonces, nuestro control era básicamente el de cotejar el ajuste o no del documento al contrato”</w:t>
      </w:r>
      <w:r>
        <w:rPr>
          <w:rtl w:val="0"/>
        </w:rPr>
        <w:t xml:space="preserve"> (VT del 15 de junio de 2026, fs. 12 y 13).</w:t>
      </w:r>
    </w:p>
    <w:p w14:paraId="000000E9">
      <w:pPr>
        <w:numPr>
          <w:ilvl w:val="0"/>
          <w:numId w:val="1"/>
        </w:numPr>
        <w:ind w:left="0" w:hanging="566"/>
      </w:pPr>
      <w:r>
        <w:rPr>
          <w:rtl w:val="0"/>
        </w:rPr>
        <w:t xml:space="preserve">Esta precisión es fundamental, porque no puede atribuirse al Estudio Delpiazzo una aprobación que nunca realizó. Más concretamente, respecto de la garantía de Eurocommerce, que finalmente sería aceptada por el Ministro como garantía de fiel cumplimiento, el Dr. Delpiazzo fue categórico: </w:t>
      </w:r>
      <w:r>
        <w:rPr>
          <w:i/>
          <w:iCs/>
          <w:rtl w:val="0"/>
        </w:rPr>
        <w:t>“No, no hubo una aprobación del estudio efectivamente a las garantías de Eurocommerce”</w:t>
      </w:r>
      <w:r>
        <w:rPr>
          <w:rtl w:val="0"/>
        </w:rPr>
        <w:t>.</w:t>
      </w:r>
    </w:p>
    <w:p w14:paraId="000000EA">
      <w:pPr>
        <w:pStyle w:val="3"/>
        <w:rPr>
          <w:u w:val="none"/>
        </w:rPr>
      </w:pPr>
      <w:bookmarkStart w:id="19" w:name="_heading=h.2ij853itxyty" w:colFirst="0" w:colLast="0"/>
      <w:bookmarkEnd w:id="19"/>
      <w:r>
        <w:rPr>
          <w:u w:val="none"/>
          <w:rtl w:val="0"/>
        </w:rPr>
        <w:t>I. APARTAMIENTO DE LA GARANTÍA CON EL CONTRATO</w:t>
      </w:r>
    </w:p>
    <w:p w14:paraId="000000EB">
      <w:pPr>
        <w:numPr>
          <w:ilvl w:val="0"/>
          <w:numId w:val="1"/>
        </w:numPr>
        <w:shd w:val="clear" w:fill="FFFFFF"/>
        <w:ind w:left="0" w:hanging="566"/>
      </w:pPr>
      <w:r>
        <w:rPr>
          <w:rtl w:val="0"/>
        </w:rPr>
        <w:t>Del análisis de los documentos enviados a la Comisión, surgen dos apartamientos sustanciales de las condiciones de las garantías aceptadas respecto de las cláusulas pactadas en el contrato. En primer lugar, el plazo de vigencia de la garantía de fiel cumplimiento no se correspondía con el exigido contractualmente: mientras el contrato establecía una vigencia de 42 meses, la propuesta contemplaba un plazo anual, renovable sucesivamente. Por otra parte, tampoco se trataba, en sentido estricto, de una garantía a primer requerimiento.</w:t>
      </w:r>
    </w:p>
    <w:p w14:paraId="000000EC">
      <w:pPr>
        <w:numPr>
          <w:ilvl w:val="0"/>
          <w:numId w:val="1"/>
        </w:numPr>
        <w:shd w:val="clear" w:fill="FFFFFF"/>
        <w:spacing w:after="0"/>
        <w:ind w:left="0" w:hanging="566"/>
      </w:pPr>
      <w:r>
        <w:rPr>
          <w:rtl w:val="0"/>
        </w:rPr>
        <w:t xml:space="preserve">El Dr. Delpiazzo fue particularmente claro al deslindar al Estudio de toda decisión relativa a la aceptación de esta garantía: </w:t>
      </w:r>
      <w:r>
        <w:rPr>
          <w:i/>
          <w:iCs/>
          <w:rtl w:val="0"/>
        </w:rPr>
        <w:t>“Lejos estuvo de nosotros haber recomendado aceptarlo o no”</w:t>
      </w:r>
      <w:r>
        <w:rPr>
          <w:rtl w:val="0"/>
        </w:rPr>
        <w:t xml:space="preserve"> (VT del 15 de junio de 2026, fs. 25). Esta afirmación es políticamente relevante porque desplaza inequívocamente la responsabilidad por esa decisión hacia las autoridades competentes de la época. Si el asesoramiento jurídico no recomendó la aceptación ni la rechazó, y la garantía finalmente fue admitida pese a apartarse de condiciones contractualmente establecidas, su aceptación no puede ser atribuida al Estudio, sino a quienes tenían a su cargo la decisión administrativa y política. Lo mismo surge respecto de la garantía de reembolso de Redbridge. El Dr. Delpiazzo explicó que el único documento que tuvo a la vista fue uno denominado “Términos y Condiciones”, cuyo contenido, en esa versión concreta, se ajustaba a las previsiones del contrato. Pero inmediatamente delimitó el alcance de su intervención: </w:t>
      </w:r>
      <w:r>
        <w:rPr>
          <w:i/>
          <w:iCs/>
          <w:rtl w:val="0"/>
        </w:rPr>
        <w:t xml:space="preserve">“El documento que nosotros analizamos fue el que nos hicieron llegar, que se denominaba ‘Términos y Condiciones’ y el contenido de ese documento cumplía con lo que mandaba el contrato. Hasta ahí llegó nuestro asesoramiento, después, si fue el efectivamente constituido, no lo sé” </w:t>
      </w:r>
      <w:r>
        <w:rPr>
          <w:rtl w:val="0"/>
        </w:rPr>
        <w:t>(VT del 15 de junio de 2026, fs. 27).</w:t>
      </w:r>
    </w:p>
    <w:p w14:paraId="000000ED">
      <w:pPr>
        <w:numPr>
          <w:ilvl w:val="0"/>
          <w:numId w:val="1"/>
        </w:numPr>
        <w:shd w:val="clear" w:fill="FFFFFF"/>
        <w:spacing w:after="0"/>
        <w:ind w:left="0" w:hanging="566"/>
      </w:pPr>
      <w:r>
        <w:rPr>
          <w:rtl w:val="0"/>
        </w:rPr>
        <w:t>Como surge de los mails remitidos, con fecha 7 de octubre de 2024, el estudio. Delpiazzo realizó un informe sobre la garantía de fiel cumplimiento emitida por Eurocommerce Bank, señalando expresamente que la misma no cumplía con la exigencia contractual de constituirse a primer requerimiento. Asimismo, se advirtió que el plazo de vigencia de la garantía tampoco se ajustaba al establecido contractualmente. No obstante, se señaló que el MDN podría aceptar dicha variante, asumiendo la responsabilidad de controlar su renovación anual con una antelación de 30 días al vencimiento, a efectos de asegurar que la garantía se mantuviera vigente durante el plazo total de 42 meses previsto contractualmente o, en su defecto, proceder a su ejecución.</w:t>
      </w:r>
    </w:p>
    <w:p w14:paraId="000000EE">
      <w:pPr>
        <w:numPr>
          <w:ilvl w:val="0"/>
          <w:numId w:val="1"/>
        </w:numPr>
        <w:shd w:val="clear" w:fill="FFFFFF"/>
        <w:spacing w:after="0"/>
        <w:ind w:left="0" w:hanging="566"/>
      </w:pPr>
      <w:r>
        <w:rPr>
          <w:rtl w:val="0"/>
        </w:rPr>
        <w:t>Resulta particularmente relevante que el asesoramiento jurídico no convalidó como ajustada al contrato una garantía que presentaba estos apartamientos, sino que los identificó expresamente y dejó planteada la posibilidad de que el MDN, en ejercicio de sus competencias, decidiera aceptarla bajo determinadas condiciones. Por tanto, la eventual aceptación de una garantía que no cumplía íntegramente con las exigencias contractuales constituyó una decisión de la Administración, con las responsabilidades que de ella se derivan, y no una recomendación del asesor jurídico de considerar cumplidas las condiciones pactadas. Más aún, la decisión de apartarse de las condiciones expresamente establecidas en el contrato sólo debilitaba la posición jurídica y patrimonial del Estado. Si el contrato exigía una garantía a primer requerimiento y con una vigencia de 42 meses, aceptar una garantía que no reunía esas condiciones implicaba resignar, al menos parcialmente, las herramientas de protección que el propio contrato había establecido en favor del Estado. Este aspecto adquiere especial gravedad si, como surge de los antecedentes, ese apartamiento no estuvo acompañado de una resolución expresa, una adenda ni una modificación formal del contrato que justificara o documentara el cambio de las condiciones originalmente pactadas. De este modo, la Administración habría optado, en los hechos, por aceptar una garantía diferente de aquella exigida contractualmente, sin que conste un instrumento jurídico que formalizara esa modificación.</w:t>
      </w:r>
    </w:p>
    <w:p w14:paraId="000000EF">
      <w:pPr>
        <w:numPr>
          <w:ilvl w:val="0"/>
          <w:numId w:val="1"/>
        </w:numPr>
        <w:shd w:val="clear" w:fill="FFFFFF"/>
        <w:spacing w:after="0"/>
        <w:ind w:left="0" w:hanging="566"/>
      </w:pPr>
      <w:r>
        <w:rPr>
          <w:rtl w:val="0"/>
        </w:rPr>
        <w:t>En consecuencia, no se trata simplemente de una diferencia de criterio respecto de la forma de instrumentar la garantía, sino de una decisión administrativa que modificó, en los hechos, las condiciones de protección La respuesta que surge de la prueba reunida por esta Comisión es particularmente preocupante: no aparece identificado en base a qué asesoramiento, ni con qué fundamentos jurídicos, administrativos o de conveniencia, el ex Ministro Castaingdebat decidió aceptar condiciones de una garantía que no cumplían con los requisitos contractuales establecidos por el propio MDN. Más aún, la prueba reunida permite afirmar que el apartamiento de las condiciones contractualmente exigidas no fue inadvertido. Por el contrario, había sido expresamente señalado en el asesoramiento jurídico: la garantía no era a primer requerimiento y su vigencia no se correspondía con los 42 meses previstos en el contrato. Por tanto, las autoridades tenían conocimiento de que la garantía ofrecida no satisfacía íntegramente las condiciones que el propio Estado había establecido como parte de la contratación.</w:t>
      </w:r>
    </w:p>
    <w:p w14:paraId="000000F0">
      <w:pPr>
        <w:numPr>
          <w:ilvl w:val="0"/>
          <w:numId w:val="1"/>
        </w:numPr>
        <w:shd w:val="clear" w:fill="FFFFFF"/>
        <w:spacing w:after="0"/>
        <w:ind w:left="0" w:hanging="566"/>
      </w:pPr>
      <w:r>
        <w:rPr>
          <w:rtl w:val="0"/>
        </w:rPr>
        <w:t>En este contexto, adquiere especial relevancia determinar qué fundamento llevó al entonces Ministro a aceptar una garantía menos favorable para el Estado, quién recomendó adoptar esa decisión y bajo qué acto administrativo o instrumento contractual se formalizó el apartamiento. La prueba reunida por esta Comisión no permite identificar una resolución, adenda o modificación contractual que documente y fundamente dicha decisión. Con fecha 6 de noviembre de 2024, el Estudio Delpiazzo informó por correo electrónico que había recibido los documentos originales entregados por Cardama el 4 de noviembre de 2024. En dicha comunicación, el Estudio precisó previamente cuáles eran las exigencias documentales que debían cumplirse para acreditar la validez de las garantías: “Cardama debía presentar certificados mediante los cuales se acredite dos cosas: que quien suscribe por cada entidad tenga la debida representación, y que tenga facultades para emitir las respectivas garantías”.</w:t>
      </w:r>
    </w:p>
    <w:p w14:paraId="000000F1">
      <w:pPr>
        <w:numPr>
          <w:ilvl w:val="0"/>
          <w:numId w:val="1"/>
        </w:numPr>
        <w:shd w:val="clear" w:fill="FFFFFF"/>
        <w:spacing w:after="0"/>
        <w:ind w:left="0" w:hanging="566"/>
      </w:pPr>
      <w:r>
        <w:rPr>
          <w:rtl w:val="0"/>
        </w:rPr>
        <w:t>Analizada la documentación correspondiente a la “Garantía de Reembolso por Anticipo Financiero de Redbridge”, el Estudio señaló que, si bien el documento se encontraba apostillado y contaba con certificación notarial de firma, no surgía de la documentación que Edmund Santiago tuviera facultades para representar a Redbridge Insurance Company Limited ni, por tanto, que contara con prerrogativas suficientes para otorgar la garantía. Pero las observaciones del Estudio no se limitaron a la insuficiencia de la documentación relativa a la representación. Del análisis realizado surgieron, además, elementos particularmente llamativos respecto de la propia situación societaria de Redbridge. Delpiazzo señaló que la sociedad estaba constituida y se regía por las leyes de Barbados, mientras que la documentación había sido firmada, certificada y apostillada en el Estado de Florida, Estados Unidos. Asimismo, a partir de la información disponible en la página web de Redbridge, identificó una oficina administrativa bajo la sociedad Redbridge Group of Florida, Inc., con domicilio en Coral Gables.</w:t>
      </w:r>
    </w:p>
    <w:p w14:paraId="000000F2">
      <w:pPr>
        <w:numPr>
          <w:ilvl w:val="0"/>
          <w:numId w:val="1"/>
        </w:numPr>
        <w:shd w:val="clear" w:fill="FFFFFF"/>
        <w:spacing w:after="0"/>
        <w:ind w:left="0" w:hanging="566"/>
      </w:pPr>
      <w:r>
        <w:rPr>
          <w:rtl w:val="0"/>
        </w:rPr>
        <w:t>La investigación realizada por el propio Estudio sobre los registros públicos de Florida agregó un elemento de especial relevancia: la sociedad con esa denominación no se encontraría activa y se habría fusionado con otra entidad. A ello se sumaba que tampoco surgía de la documentación que el firmante actuara en representación de dicha oficina administrativa, ni que esa oficina tuviera facultades para representar a la sociedad constituida en Barbados. El Estudio Jurídico también dejó constancia de que había procurado verificar si, mediante la documentación disponible en los registros públicos de Florida, podría subsanarse el defecto relativo a la representación, concluyendo que no había sido posible hacerlo.</w:t>
      </w:r>
    </w:p>
    <w:p w14:paraId="000000F3">
      <w:pPr>
        <w:numPr>
          <w:ilvl w:val="0"/>
          <w:numId w:val="1"/>
        </w:numPr>
        <w:shd w:val="clear" w:fill="FFFFFF"/>
        <w:spacing w:after="0"/>
        <w:ind w:left="0" w:hanging="566"/>
      </w:pPr>
      <w:r>
        <w:rPr>
          <w:rtl w:val="0"/>
        </w:rPr>
        <w:t>De este modo, el análisis efectuado por el Estudio Delpiazzo resulta particularmente relevante porque demuestra que, al momento de examinar los documentos originales, la garantía de Redbridge presentaba un defecto concreto y sustancial de representación que impedía acreditar que quien la suscribía tuviera facultades suficientes para obligar a la sociedad garante. No se trataba, por tanto, de una mera deficiencia formal o de una cuestión documental menor, sino de la falta de acreditación de un elemento esencial para determinar la validez y eficacia de la garantía frente al Estado.</w:t>
      </w:r>
    </w:p>
    <w:p w14:paraId="000000F4">
      <w:pPr>
        <w:numPr>
          <w:ilvl w:val="0"/>
          <w:numId w:val="1"/>
        </w:numPr>
        <w:shd w:val="clear" w:fill="FFFFFF"/>
        <w:ind w:left="0" w:hanging="566"/>
      </w:pPr>
      <w:r>
        <w:rPr>
          <w:rtl w:val="0"/>
        </w:rPr>
        <w:t xml:space="preserve">En consecuencia, la cuestión que queda planteada es de singular importancia: ¿qué actuación realizó el MDN, luego de haber sido advertido de estas deficiencias, para verificar que la sociedad garante existía, se encontraba habilitada para actuar y que quien suscribió la garantía tenía efectivamente facultades suficientes para comprometerla por € 8.227.000? La prueba reseñada en la Comisión deja de manifiesto que no se realizó ningún tipo de control procediéndose aceptar las garantías. </w:t>
      </w:r>
    </w:p>
    <w:p w14:paraId="000000F5">
      <w:pPr>
        <w:pStyle w:val="3"/>
        <w:rPr>
          <w:u w:val="none"/>
        </w:rPr>
      </w:pPr>
      <w:bookmarkStart w:id="20" w:name="_heading=h.lmiz9imcob7r" w:colFirst="0" w:colLast="0"/>
      <w:bookmarkEnd w:id="20"/>
      <w:r>
        <w:rPr>
          <w:u w:val="none"/>
          <w:rtl w:val="0"/>
        </w:rPr>
        <w:t>J. LA GARANTÍA DE FIEL CUMPLIMIENTO (EUROCOMMERCE) PRESENTADA POR CARDAMA ERA FALSA</w:t>
      </w:r>
    </w:p>
    <w:p w14:paraId="000000F6">
      <w:pPr>
        <w:numPr>
          <w:ilvl w:val="0"/>
          <w:numId w:val="1"/>
        </w:numPr>
        <w:shd w:val="clear" w:fill="FFFFFF"/>
        <w:ind w:left="0" w:hanging="566"/>
      </w:pPr>
      <w:r>
        <w:rPr>
          <w:rtl w:val="0"/>
        </w:rPr>
        <w:t>A esta altura, en el seno de esta Comisión ya no existe controversia respecto de que la garantía de fiel cumplimiento presentada por Eurocommerce y los documentos notariales adjuntos eran falsos. La cuestión que corresponde dilucidar ya no es, por tanto, si la garantía era auténtica, sino cómo fue posible que una garantía de esa naturaleza fuera presentada, aceptada y mantenida como respaldo de las obligaciones asumidas frente al Estado, pese a las exigencias contractuales y a los mecanismos de control que debían aplicarse.</w:t>
      </w:r>
    </w:p>
    <w:p w14:paraId="000000F7">
      <w:pPr>
        <w:numPr>
          <w:ilvl w:val="0"/>
          <w:numId w:val="1"/>
        </w:numPr>
        <w:shd w:val="clear" w:fill="FFFFFF"/>
        <w:spacing w:after="0"/>
        <w:ind w:left="0" w:hanging="566"/>
      </w:pPr>
      <w:r>
        <w:rPr>
          <w:rtl w:val="0"/>
        </w:rPr>
        <w:t xml:space="preserve">Como se analizó anteriormente, en la Cláusula 27 del Contrato, se estableció que la Garantía de Fiel Cumplimiento debía permanecer vigente durante toda la etapa de construcción de los buques y hasta doce (12) meses después de la entrega del último buque, lo que determinaba un período de cobertura de aproximadamente cuarenta y dos (42) meses. Sin embargo, aún desconocemos los motivos por el cual el entonces Ministro de Defensa Nacional, Armando Castaingdebat, finalmente aceptó una garantía con una cobertura sustancialmente menor a la prevista contractualmente. </w:t>
      </w:r>
    </w:p>
    <w:p w14:paraId="000000F8">
      <w:pPr>
        <w:numPr>
          <w:ilvl w:val="0"/>
          <w:numId w:val="1"/>
        </w:numPr>
        <w:shd w:val="clear" w:fill="FFFFFF"/>
        <w:spacing w:after="0"/>
        <w:ind w:left="0" w:hanging="566"/>
      </w:pPr>
      <w:r>
        <w:rPr>
          <w:rtl w:val="0"/>
        </w:rPr>
        <w:t>La empresa había demostrado serias dificultades para obtener una garantía que cumpliera con las condiciones exigidas contractualmente. Se presentaron distintas alternativas, que fueron objeto de análisis y que finalmente no llegaron a prosperar. Luego de ese proceso, la garantía que finalmente fue presentada por Cardama no cumplía con las condiciones originalmente establecidas en el contrato, tanto en cuanto a su modalidad como respecto de su plazo de vigencia. Por tanto, no se trató de una situación imprevista ni de un apartamiento que las autoridades desconocieran. El MDN sabía de las dificultades de Cardama para obtener la garantía exigida, conocía las características de las alternativas que se habían presentado y, finalmente, aceptó una garantía que se apartaba de las condiciones contractuales, bajo el compromiso de que fuera renovada anualmente.</w:t>
      </w:r>
    </w:p>
    <w:p w14:paraId="000000F9">
      <w:pPr>
        <w:numPr>
          <w:ilvl w:val="0"/>
          <w:numId w:val="1"/>
        </w:numPr>
        <w:shd w:val="clear" w:fill="FFFFFF"/>
        <w:spacing w:after="0"/>
        <w:ind w:left="0" w:hanging="566"/>
      </w:pPr>
      <w:r>
        <w:rPr>
          <w:rtl w:val="0"/>
        </w:rPr>
        <w:t xml:space="preserve">La cuestión adquiere una dimensión todavía mayor cuando se observa lo ocurrido posteriormente: Cardama no cumplió con la obligación de renovación y, además, se comprobó que el instrumento presentado como garantía era falso. De esta manera, el riesgo que el MDN había asumido al apartarse del esquema de garantía originalmente previsto terminó materializando de la peor manera posible: el Estado quedó expuesto a un fraude o estafa.  </w:t>
      </w:r>
    </w:p>
    <w:p w14:paraId="000000FA">
      <w:pPr>
        <w:numPr>
          <w:ilvl w:val="0"/>
          <w:numId w:val="1"/>
        </w:numPr>
        <w:shd w:val="clear" w:fill="FFFFFF"/>
        <w:spacing w:after="0"/>
        <w:ind w:left="0" w:hanging="566"/>
      </w:pPr>
      <w:r>
        <w:rPr>
          <w:rtl w:val="0"/>
        </w:rPr>
        <w:t>Habiendo transcurrido el plazo previsto para la renovación de la Garantía de Fiel Cumplimiento sin que Cardama realizara actuación alguna para mantenerla vigente, con fecha 20 de octubre de 2025 las actuales autoridades de Gobierno procedieron a disponer formalmente su ejecución, precisamente con el objetivo de proteger los intereses del Estado, instruyendo al Embajador de la República Oriental del Uruguay ante el Reino Unido a presentar la correspondiente solicitud escrita de ejecución ante Eurocommerce, en la ciudad de Londres, conforme surge de la copia fiel del Expediente Administrativo N.º 2025-3-1-0001451.</w:t>
      </w:r>
    </w:p>
    <w:p w14:paraId="000000FB">
      <w:pPr>
        <w:numPr>
          <w:ilvl w:val="0"/>
          <w:numId w:val="1"/>
        </w:numPr>
        <w:shd w:val="clear" w:fill="FFFFFF"/>
        <w:spacing w:after="0"/>
        <w:ind w:left="0" w:hanging="566"/>
      </w:pPr>
      <w:r>
        <w:rPr>
          <w:rtl w:val="0"/>
        </w:rPr>
        <w:t>Con fecha 21 de octubre de 2025, el Embajador comunicó los resultados de su gestión, de los que surgen los siguientes hechos: i) no existía oficina ni dependencia alguna de Eurocommerce en el domicilio consignado en la garantía como sede de dicha entidad: UNIT 8079, Ground Floor, 30 Bloomsbury Street, London, WC1B 3QJ; ii) al trasladarse a una segunda dirección publicada en el sitio web de la empresa, tampoco existía oficina alguna de Eurocommerce; iii) El número de teléfono publicado en el sitio web de Eurocommerce correspondía, en realidad, a otra institución financiera. La primera actuación destinada a ejecutar la garantía llevó a constatar, en cuestión de horas, que los datos esenciales utilizados para identificar y contactar a la supuesta entidad emisora no permitían localizarla en Londres. En menos de 24 horas, la diligencia dispuesta por las autoridades permitió verificar que la dirección consignada en el instrumento no correspondía a una oficina de Eurocommerce, que tampoco existía la segunda dirección atribuida a la entidad y que el número telefónico publicado correspondía a otra institución financiera.</w:t>
      </w:r>
    </w:p>
    <w:p w14:paraId="000000FC">
      <w:pPr>
        <w:numPr>
          <w:ilvl w:val="0"/>
          <w:numId w:val="1"/>
        </w:numPr>
        <w:shd w:val="clear" w:fill="FFFFFF"/>
        <w:spacing w:after="0"/>
        <w:ind w:left="0" w:hanging="566"/>
      </w:pPr>
      <w:r>
        <w:rPr>
          <w:rtl w:val="0"/>
        </w:rPr>
        <w:t>A las constataciones realizadas por el Embajador, de la documentación remitida por el Poder Ejecutivo se sumó el análisis realizado por Arnold &amp; Porter, estudio internacional que asesora al Estado Uruguayo en diferentes litigios, que identificó múltiples factores de riesgo, compatibles con la existencia de una estructura utilizada para cometer o facilitar delitos financieros, entre ellos: que el único director, ejecutivo y accionista de Eurocommerce era, supuestamente, Vladimir Suzdalev, ciudadano y residente ruso, con domicilio en Zavidovo. El sitio web de Eurocommerce indicaba, asimismo, una dirección en Moscú. La empresa reportaba un solo empleado en 2022 y ninguno en 2023 ni 2024. Sus estados financieros no evidenciaban actividad económica, capital, reservas ni actividad comercial compatibles con una institución capaz de emitir garantías financieras de la naturaleza y cuantía de la presentada ante el Estado uruguayo. El número de teléfono publicado en el sitio web de Eurocommerce correspondía, en realidad, al Standard Chartered Bank de Londres. El dominio del sitio web “eurocommerce.uk” fue registrado el 23 de marzo de 2022, casi tres años después de la constitución de la sociedad, circunstancia que, considerada conjuntamente con los demás antecedentes, resulta difícilmente compatible con la existencia de una institución financiera con actividad real y sostenida.</w:t>
      </w:r>
    </w:p>
    <w:p w14:paraId="000000FD">
      <w:pPr>
        <w:numPr>
          <w:ilvl w:val="0"/>
          <w:numId w:val="1"/>
        </w:numPr>
        <w:shd w:val="clear" w:fill="FFFFFF"/>
        <w:spacing w:after="0"/>
        <w:ind w:left="0" w:hanging="566"/>
      </w:pPr>
      <w:r>
        <w:rPr>
          <w:rtl w:val="0"/>
        </w:rPr>
        <w:t>Eurocommerce no presentaba actividad económica compatible con la emisión de garantías financieras, carecía de empleados en los años inmediatamente anteriores, no exhibía capital, reservas ni operaciones acordes con esa actividad, no contaba con un domicilio operativo verificable y sus datos de contacto conducían incluso a otra institución financiera. A ello se agregaba la ausencia de registro ante los organismos reguladores competentes del Reino Unido. Estos elementos, considerados en conjunto, permiten sostener que Eurocommerce no era una institución bancaria real y operativa en condiciones de emitir la garantía que Cardama presentó ante el Estado.</w:t>
      </w:r>
    </w:p>
    <w:p w14:paraId="000000FE">
      <w:pPr>
        <w:numPr>
          <w:ilvl w:val="0"/>
          <w:numId w:val="1"/>
        </w:numPr>
        <w:shd w:val="clear" w:fill="FFFFFF"/>
        <w:spacing w:after="0"/>
        <w:ind w:left="0" w:hanging="566"/>
      </w:pPr>
      <w:r>
        <w:rPr>
          <w:rtl w:val="0"/>
        </w:rPr>
        <w:t>En cuanto a la forma en que fue presentada la Garantía de Fiel Cumplimiento, con fecha 29 de octubre de 2024, el Notario Miguel Lucas Sánchez extendió un testimonio notarial por exhibición respecto del documento presentado como garantía, emitido bajo membrete de “Eurocommerce”. El instrumento notarial se limitó a dejar constancia de que el texto —redactado en idioma inglés— “coincide exactamente con su original”. A ello se agrega un elemento particularmente relevante: el documento no contaba con apostilla alguna, pese a tratarse de un instrumento extranjero destinado a producir efectos fuera de España.</w:t>
      </w:r>
    </w:p>
    <w:p w14:paraId="000000FF">
      <w:pPr>
        <w:numPr>
          <w:ilvl w:val="0"/>
          <w:numId w:val="1"/>
        </w:numPr>
        <w:shd w:val="clear" w:fill="FFFFFF"/>
        <w:spacing w:after="0"/>
        <w:ind w:left="0" w:hanging="566"/>
      </w:pPr>
      <w:r>
        <w:rPr>
          <w:rtl w:val="0"/>
        </w:rPr>
        <w:t xml:space="preserve">Lo anterior plantea, además, una cuestión particularmente relevante respecto de la documentación efectivamente recibida por el MDN. El testimonio notarial por exhibición de fecha 29 de octubre de 2024 acredita únicamente que, en ese momento, fue exhibido ante el notario un original cuyo contenido coincidía con el documento testimoniado. Sin embargo, de dicha actuación no surge que ese original haya sido posteriormente entregado al Ministerio de Defensa Nacional, ni que haya quedado incorporado al expediente administrativo. </w:t>
      </w:r>
    </w:p>
    <w:p w14:paraId="00000100">
      <w:pPr>
        <w:numPr>
          <w:ilvl w:val="0"/>
          <w:numId w:val="1"/>
        </w:numPr>
        <w:shd w:val="clear" w:fill="FFFFFF"/>
        <w:ind w:left="0" w:hanging="566"/>
      </w:pPr>
      <w:r>
        <w:rPr>
          <w:rtl w:val="0"/>
        </w:rPr>
        <w:t>Este alcance extremadamente limitado del testimonio notarial, surge de la documentación remitida por el Poder Ejecutivo, específicamente en el expediente de rescisión con el informe del Notario Martínez-Gil Vich respecto de los documentos notariales, concluyendo sobre este documento: “</w:t>
      </w:r>
      <w:r>
        <w:rPr>
          <w:i/>
          <w:iCs/>
          <w:rtl w:val="0"/>
        </w:rPr>
        <w:t>una apariencia de regularidad merced a la intervención de un Notario”,</w:t>
      </w:r>
      <w:r>
        <w:rPr>
          <w:rtl w:val="0"/>
        </w:rPr>
        <w:t xml:space="preserve"> sin producir efectos sustantivos sobre el contenido o autenticidad del documento testimoniado. </w:t>
      </w:r>
    </w:p>
    <w:p w14:paraId="00000101">
      <w:pPr>
        <w:pStyle w:val="3"/>
        <w:rPr>
          <w:u w:val="none"/>
        </w:rPr>
      </w:pPr>
      <w:bookmarkStart w:id="21" w:name="_heading=h.idyt8kvyuajg" w:colFirst="0" w:colLast="0"/>
      <w:bookmarkEnd w:id="21"/>
      <w:r>
        <w:rPr>
          <w:u w:val="none"/>
          <w:rtl w:val="0"/>
        </w:rPr>
        <w:t>K. SOBRE LA DOCUMENTACIÓN NOTARIAL PRESENTADA POR CARDAMA</w:t>
      </w:r>
    </w:p>
    <w:p w14:paraId="00000102">
      <w:pPr>
        <w:numPr>
          <w:ilvl w:val="0"/>
          <w:numId w:val="1"/>
        </w:numPr>
        <w:ind w:left="0" w:hanging="566"/>
      </w:pPr>
      <w:r>
        <w:rPr>
          <w:rtl w:val="0"/>
        </w:rPr>
        <w:t>La garantía de Eurocommerce era acompañada por documentación notarial que también resultó ser falsa. La documentación que Cardama remitió al MDN no resultaba suficiente para acreditar el proceso de constitución de la garantía con Eurocommerce, razón por la cual el Estudio Delpiazzo le aclaró el alcance que el certificado notarial debía tener (correo electrónico del 14 de noviembre de 2024 del Dr. GODOY al Sr. CARDAMA). El 15 de noviembre de 2024 Cardama remite un acta notarial “</w:t>
      </w:r>
      <w:r>
        <w:rPr>
          <w:i/>
          <w:iCs/>
          <w:rtl w:val="0"/>
        </w:rPr>
        <w:t>donde se certifica que el Sr. Alex Walsh tiene poderes para firmar el aval de acuerdo a sus instrucciones</w:t>
      </w:r>
      <w:r>
        <w:rPr>
          <w:rtl w:val="0"/>
        </w:rPr>
        <w:t>”. El 28 de noviembre el Dr. DELPIAZZO le manifiesta vía correo electrónico al Cr. GALÓ que “</w:t>
      </w:r>
      <w:r>
        <w:rPr>
          <w:i/>
          <w:iCs/>
          <w:rtl w:val="0"/>
        </w:rPr>
        <w:t>preocupa la desprolijidad con que se mueve este señor, una y otra vez</w:t>
      </w:r>
      <w:r>
        <w:rPr>
          <w:rtl w:val="0"/>
        </w:rPr>
        <w:t xml:space="preserve">”, en referencia a Cardama. </w:t>
      </w:r>
    </w:p>
    <w:p w14:paraId="00000103">
      <w:pPr>
        <w:numPr>
          <w:ilvl w:val="0"/>
          <w:numId w:val="1"/>
        </w:numPr>
        <w:spacing w:after="0"/>
        <w:ind w:left="0" w:hanging="566"/>
      </w:pPr>
      <w:r>
        <w:rPr>
          <w:rtl w:val="0"/>
        </w:rPr>
        <w:t xml:space="preserve">En el acta notarial presentada por Cardama figura la supuesta intervención del notario español D. Luis Calabuig de Leyva. Sin embargo, el propio notario negó haber intervenido en los documentos que llevan su supuesta firma, desconociendo expresamente su autoría, y presentó, a tales efectos, una denuncia penal ante la Policía Nacional de España según nota periodística. </w:t>
      </w:r>
    </w:p>
    <w:p w14:paraId="00000104">
      <w:pPr>
        <w:numPr>
          <w:ilvl w:val="0"/>
          <w:numId w:val="1"/>
        </w:numPr>
        <w:spacing w:after="0"/>
        <w:ind w:left="0" w:hanging="566"/>
      </w:pPr>
      <w:r>
        <w:rPr>
          <w:rtl w:val="0"/>
        </w:rPr>
        <w:t>Es por eso que el Poder Ejecutivo encomendó al  notario español Ignacio Martínez-Gil Vich, un análisis técnico-jurídico realizado a solicitud del Gobierno uruguayo determinó que “</w:t>
      </w:r>
      <w:r>
        <w:rPr>
          <w:i/>
          <w:iCs/>
          <w:rtl w:val="0"/>
        </w:rPr>
        <w:t>La conclusión es clara: se trata de copias falsificadas que no han sido expedidas por ningún Notario</w:t>
      </w:r>
      <w:r>
        <w:rPr>
          <w:rtl w:val="0"/>
        </w:rPr>
        <w:t>” y que “</w:t>
      </w:r>
      <w:r>
        <w:rPr>
          <w:i/>
          <w:iCs/>
          <w:rtl w:val="0"/>
        </w:rPr>
        <w:t>las copias autorizadas entregadas al Ministerio de Defensa de la República Oriental del Uruguay son absolutamente falsa y han sido elaboradas para crear una apariencia de regularidad merced a la intervención de un Notario</w:t>
      </w:r>
      <w:r>
        <w:rPr>
          <w:rtl w:val="0"/>
        </w:rPr>
        <w:t xml:space="preserve">”. </w:t>
      </w:r>
    </w:p>
    <w:p w14:paraId="00000105">
      <w:pPr>
        <w:numPr>
          <w:ilvl w:val="0"/>
          <w:numId w:val="1"/>
        </w:numPr>
        <w:spacing w:after="0"/>
        <w:ind w:left="0" w:hanging="566"/>
      </w:pPr>
      <w:r>
        <w:rPr>
          <w:rtl w:val="0"/>
        </w:rPr>
        <w:t xml:space="preserve">Posteriormente, se accede al acta original del escribano, proporcionada por el Poder Ejecutivo a esta Comisión, y se ha logrado confirmar que el acta notarial presentada por Cardama fue absolutamente falsificada. Esto ya había sido confirmado por el análisis comparativo de ambos documentos surge que en el acta auténtica (N° 5952, del 14 de noviembre de 2024) el notario interviniente formulaba una advertencia sobre la necesidad de ratificación por parte del mandante para la plena eficacia de la escritura, y que a pesar de esa advertencia le insistieron en su otorgamiento asumiendo expresamente la falta de acreditación de la supuesta representación de Eurocommerce. Esta advertencia fue eliminada en el acta adulterada (N° 5952, del 25 de noviembre de 2024). Se cambió la fecha de otorgamiento, se eliminó la advertencia notarial expresa sobre la falta de acreditación de representación, se transformó la manifestación auténtica en una declaración directa de suficiencia de facultades y reproduce solo dos de las tres notas de expedición de copias, cuya existencia en un documento fechado el 25 de noviembre de 2025 es cronológicamente imposible.   </w:t>
      </w:r>
    </w:p>
    <w:p w14:paraId="00000106">
      <w:pPr>
        <w:numPr>
          <w:ilvl w:val="0"/>
          <w:numId w:val="1"/>
        </w:numPr>
        <w:spacing w:after="0"/>
        <w:ind w:left="0" w:hanging="566"/>
      </w:pPr>
      <w:r>
        <w:rPr>
          <w:rtl w:val="0"/>
        </w:rPr>
        <w:t xml:space="preserve">Con fecha 9 de enero de 2026, Cardama, al evacuar la vista que le fuera conferida el 26 de diciembre de 2025 en el marco del Expediente Nº 2025-3-1-0001451, manifestó no ser responsable por la emisión de una garantía “fraudulenta”, sosteniendo, por el contrario, que sería “una víctima más”. Esta posición asumida por Cardama resulta particularmente relevante para el análisis de la Comisión. La empresa niega haber participado en la elaboración o presentación de una garantía fraudulenta y procura situarse, frente a los hechos, en la posición de víctima. Corresponde, por tanto, contrastar esa afirmación con la secuencia objetiva de actuaciones documentadas en el expediente y con la no comparecencia del Sr. Mario Cardama a esta comisión. </w:t>
      </w:r>
    </w:p>
    <w:p w14:paraId="00000107">
      <w:pPr>
        <w:numPr>
          <w:ilvl w:val="0"/>
          <w:numId w:val="1"/>
        </w:numPr>
        <w:spacing w:after="0"/>
        <w:ind w:left="0" w:hanging="566"/>
      </w:pPr>
      <w:r>
        <w:rPr>
          <w:rtl w:val="0"/>
        </w:rPr>
        <w:t>Cardama no ofrece una explicación concreta acerca de cómo se habría perpetrado el engaño del que sostiene haber sido víctima. Surge de los expedientes administrativos que no explica cómo se desarrolló el proceso de contratación de la garantía, quiénes fueron sus interlocutores, con qué personas o entidades negoció su obtención, quiénes intervinieron en su instrumentación ni a quién se realizaron los eventuales pagos correspondientes a primas, comisiones u honorarios vinculados con las garantías presentadas ante el Estado.</w:t>
      </w:r>
    </w:p>
    <w:p w14:paraId="00000108">
      <w:pPr>
        <w:numPr>
          <w:ilvl w:val="0"/>
          <w:numId w:val="1"/>
        </w:numPr>
        <w:spacing w:after="0"/>
        <w:ind w:left="0" w:hanging="566"/>
      </w:pPr>
      <w:r>
        <w:rPr>
          <w:rtl w:val="0"/>
        </w:rPr>
        <w:t xml:space="preserve">Estas omisiones adquieren particular relevancia porque no se está ante un único documento aislado cuya falsedad pudiera atribuirse, sin más, a un tercero desconocido. Existieron sucesivas versiones, propuestas, documentos y modificaciones que fueron circulando durante el proceso de obtención de las garantías, lo que necesariamente supone la intervención de distintas personas y un proceso concreto de contratación, elaboración y entrega que Cardama debería estar en condiciones de explicar. Más difícil de explicar aún resulta la existencia de documentación notarial aparentemente vinculada a un escribano español que posteriormente continuó actuando como notario de confianza de la empresa Francisco Cardama S.A. </w:t>
      </w:r>
    </w:p>
    <w:p w14:paraId="00000109">
      <w:pPr>
        <w:pStyle w:val="3"/>
        <w:shd w:val="clear" w:fill="FFFFFF"/>
        <w:rPr>
          <w:u w:val="none"/>
        </w:rPr>
      </w:pPr>
      <w:bookmarkStart w:id="22" w:name="_heading=h.54mscug4bjhf" w:colFirst="0" w:colLast="0"/>
      <w:bookmarkEnd w:id="22"/>
      <w:r>
        <w:rPr>
          <w:u w:val="none"/>
          <w:rtl w:val="0"/>
        </w:rPr>
        <w:t xml:space="preserve">L. FALSIFICACIÓN DE RENOVACIÓN DE GARANTÍA </w:t>
      </w:r>
    </w:p>
    <w:p w14:paraId="0000010A">
      <w:pPr>
        <w:numPr>
          <w:ilvl w:val="0"/>
          <w:numId w:val="1"/>
        </w:numPr>
        <w:shd w:val="clear" w:fill="FCFCFC"/>
        <w:ind w:left="0" w:hanging="566"/>
      </w:pPr>
      <w:r>
        <w:rPr>
          <w:rtl w:val="0"/>
        </w:rPr>
        <w:t xml:space="preserve">No obstante, las circunstancias anteriormente referidas, y pese a que ya había transcurrido el plazo previsto para la renovación de la Garantía de Fiel Cumplimiento, con fecha 22 de octubre de 2025, Cardama remitió por correo electrónico a la señora Ministra de Defensa Nacional una supuesta renovación de dicha garantía. El documento presentado correspondía nuevamente a un supuesto aval emitido por Eurocommerce, lo que no sabía Cardama es que el Estado Uruguayo ya conocía la inexistencia de esa empresa. </w:t>
      </w:r>
    </w:p>
    <w:p w14:paraId="0000010B">
      <w:pPr>
        <w:numPr>
          <w:ilvl w:val="0"/>
          <w:numId w:val="1"/>
        </w:numPr>
        <w:shd w:val="clear" w:fill="FCFCFC"/>
        <w:spacing w:after="0"/>
        <w:ind w:left="0" w:hanging="566"/>
      </w:pPr>
      <w:r>
        <w:rPr>
          <w:rtl w:val="0"/>
        </w:rPr>
        <w:t>La documentación remitida presenta una inconsistencia temporal particularmente grave: Cardama presentó un documento fechado el 26 de setiembre de 2024 fue remitido el 22 de octubre de 2025 como si constituyera la renovación de una garantía cuyo período anterior había vencido el 22 de octubre de 2025.</w:t>
      </w:r>
    </w:p>
    <w:p w14:paraId="0000010C">
      <w:pPr>
        <w:numPr>
          <w:ilvl w:val="0"/>
          <w:numId w:val="1"/>
        </w:numPr>
        <w:shd w:val="clear" w:fill="FCFCFC"/>
        <w:spacing w:after="0"/>
        <w:ind w:left="0" w:hanging="566"/>
      </w:pPr>
      <w:r>
        <w:rPr>
          <w:rtl w:val="0"/>
        </w:rPr>
        <w:t>Las pericias realizadas por la Dirección Nacional de Policía Científica y la Dirección Criminalística de la Policía Nacional, incorporadas al Expediente Administrativo N.º 2025-3-1-0001451, fs. 95-199, revisten particular relevancia para esclarecer el origen y la naturaleza del documento presentado por Cardama como renovación de la Garantía de Fiel Cumplimiento. Estos análisis técnicos concluyeron que el documento remitido el 22 de octubre de 2025 presenta características compatibles con una eventual alteración o manipulación digital de la garantía inicialmente presentada, extremo que deberá ser valorado conjuntamente con los restantes elementos probatorios reunidos por esta Comisión.</w:t>
      </w:r>
    </w:p>
    <w:p w14:paraId="0000010D">
      <w:pPr>
        <w:numPr>
          <w:ilvl w:val="0"/>
          <w:numId w:val="1"/>
        </w:numPr>
        <w:shd w:val="clear" w:fill="FCFCFC"/>
        <w:spacing w:after="0"/>
        <w:ind w:left="0" w:hanging="566"/>
      </w:pPr>
      <w:r>
        <w:rPr>
          <w:rtl w:val="0"/>
        </w:rPr>
        <w:t xml:space="preserve">Lo que inicialmente podía aparentar ser, </w:t>
      </w:r>
      <w:r>
        <w:rPr>
          <w:i/>
          <w:iCs/>
          <w:rtl w:val="0"/>
        </w:rPr>
        <w:t>prima facie</w:t>
      </w:r>
      <w:r>
        <w:rPr>
          <w:rtl w:val="0"/>
        </w:rPr>
        <w:t>, un incumplimiento de Cardama respecto de la obligación de renovar en tiempo y forma la Garantía de Fiel Cumplimiento —incumplimiento que, por sí mismo, revestía ya extrema gravedad por dejar al Estado sin uno de los principales mecanismos de protección previstos en el Contrato— terminó revelando una realidad sustancialmente más grave.</w:t>
      </w:r>
    </w:p>
    <w:p w14:paraId="0000010E">
      <w:pPr>
        <w:numPr>
          <w:ilvl w:val="0"/>
          <w:numId w:val="1"/>
        </w:numPr>
        <w:shd w:val="clear" w:fill="FCFCFC"/>
        <w:ind w:left="0" w:hanging="566"/>
      </w:pPr>
      <w:r>
        <w:rPr>
          <w:rtl w:val="0"/>
        </w:rPr>
        <w:t>La falta de renovación no constituyó, en definitiva, un hecho aislado ni una mera irregularidad formal. Fue la punta del iceberg de una sucesión de falsedades, inconsistencias documentales, anomalías y graves incumplimientos que afectaban obligaciones esenciales del Contrato. La posterior investigación permitió constatar que los problemas no se limitaban a la vigencia de la garantía, sino que alcanzaban a su propia autenticidad, a la existencia y condiciones de la supuesta entidad emisora y a la documentación presentada para respaldarla.</w:t>
      </w:r>
    </w:p>
    <w:p w14:paraId="0000010F">
      <w:pPr>
        <w:pStyle w:val="3"/>
        <w:keepNext w:val="0"/>
        <w:keepLines w:val="0"/>
        <w:shd w:val="clear" w:fill="FCFCFC"/>
        <w:rPr>
          <w:u w:val="none"/>
        </w:rPr>
      </w:pPr>
      <w:bookmarkStart w:id="23" w:name="_heading=h.yyzt4dlfoheg" w:colFirst="0" w:colLast="0"/>
      <w:bookmarkEnd w:id="23"/>
      <w:r>
        <w:rPr>
          <w:u w:val="none"/>
          <w:rtl w:val="0"/>
        </w:rPr>
        <w:t xml:space="preserve">M. LA GARANTÍA DE REEMBOLSO (REDBRIDGE): EL DOCUMENTO PRESENTADO POR CARDAMA TAMPOCO ERA UNA PÓLIZA </w:t>
      </w:r>
    </w:p>
    <w:p w14:paraId="00000110">
      <w:pPr>
        <w:numPr>
          <w:ilvl w:val="0"/>
          <w:numId w:val="1"/>
        </w:numPr>
        <w:shd w:val="clear" w:fill="FCFCFC"/>
        <w:ind w:left="0" w:hanging="566"/>
      </w:pPr>
      <w:r>
        <w:rPr>
          <w:rtl w:val="0"/>
        </w:rPr>
        <w:t>Con fecha 30 de octubre de 2024, Cardama entregó al MDN un documento de ocho (8) páginas, extendido bajo membrete de Redbridge Insurance Company Limited, redactado en idioma español y denominado “TÉRMINOS Y CONDICIONES”, cuyo tipo de instrumento se identificaba como “Garantía de Anticipo Financiero”.</w:t>
      </w:r>
    </w:p>
    <w:p w14:paraId="00000111">
      <w:pPr>
        <w:numPr>
          <w:ilvl w:val="0"/>
          <w:numId w:val="1"/>
        </w:numPr>
        <w:shd w:val="clear" w:fill="FCFCFC"/>
        <w:spacing w:after="0"/>
        <w:ind w:left="0" w:hanging="566"/>
      </w:pPr>
      <w:r>
        <w:rPr>
          <w:rtl w:val="0"/>
        </w:rPr>
        <w:t>El MDN aceptó dicho documento como cumplimiento de la obligación de constituir la Garantía de Reembolso prevista en la Cláusula 11 del Contrato, bajo la premisa de que se trataba de un instrumento válido y eficaz y que, por tanto, otorgaba al Estado la cobertura patrimonial exigida contractualmente. Sin embargo, cuando posteriormente el actual gobierno, ante los incumplimientos de Cardama y particularmente frente a la falta de renovación de la Garantía de Fiel Cumplimiento de Eurocommerce, inició las gestiones tendientes a hacer efectiva la Garantía de Reembolso, los asesores legales de Redbridge comunicaron que el documento presentado por Cardama ante el MDN no constituía una póliza de seguro de anticipo financiero.</w:t>
      </w:r>
    </w:p>
    <w:p w14:paraId="00000112">
      <w:pPr>
        <w:numPr>
          <w:ilvl w:val="0"/>
          <w:numId w:val="1"/>
        </w:numPr>
        <w:shd w:val="clear" w:fill="FCFCFC"/>
        <w:spacing w:after="0"/>
        <w:ind w:left="0" w:hanging="566"/>
        <w:rPr>
          <w:rFonts w:ascii="Times New Roman" w:hAnsi="Times New Roman" w:eastAsia="Times New Roman" w:cs="Times New Roman"/>
        </w:rPr>
      </w:pPr>
      <w:r>
        <w:rPr>
          <w:rtl w:val="0"/>
        </w:rPr>
        <w:t>La propia Redbridge identificó, en cambio, un instrumento distinto como la verdadera póliza de anticipo financiero: un documento de diecisiete (17) páginas, fechado el 23 de octubre de 2024. Lo particularmente relevante es que ese documento nunca estuvo a disposición del Estado al momento en que el MDN tuvo por cumplida la obligación contractual de constituir la Garantía de Reembolso. Uruguay recién pudo acceder a dicha póliza en 2026, cuando fue incorporada al Expediente Administrativo N.º 2025-3-1-0001451.</w:t>
      </w:r>
      <w:r>
        <w:rPr>
          <w:b/>
          <w:bCs/>
          <w:rtl w:val="0"/>
        </w:rPr>
        <w:t xml:space="preserve"> </w:t>
      </w:r>
    </w:p>
    <w:p w14:paraId="00000113">
      <w:pPr>
        <w:numPr>
          <w:ilvl w:val="0"/>
          <w:numId w:val="1"/>
        </w:numPr>
        <w:shd w:val="clear" w:fill="FCFCFC"/>
        <w:spacing w:after="0"/>
        <w:ind w:left="0" w:hanging="566"/>
        <w:rPr>
          <w:rFonts w:ascii="Times New Roman" w:hAnsi="Times New Roman" w:eastAsia="Times New Roman" w:cs="Times New Roman"/>
        </w:rPr>
      </w:pPr>
      <w:r>
        <w:rPr>
          <w:rtl w:val="0"/>
        </w:rPr>
        <w:t>El incumplimiento de Cardama resulta grave y manifiesto, tenía en su poder a la verdadera póliza de seguro de anticipo financiero, emitida por Redbridge con fecha 23 de octubre de 2024, y, sin embargo, no la entregó al Ministerio de Defensa Nacional.</w:t>
      </w:r>
      <w:r>
        <w:rPr>
          <w:b/>
          <w:bCs/>
          <w:rtl w:val="0"/>
        </w:rPr>
        <w:t xml:space="preserve"> </w:t>
      </w:r>
      <w:r>
        <w:rPr>
          <w:rtl w:val="0"/>
        </w:rPr>
        <w:t xml:space="preserve">La verdadera póliza, fechada el 23 de octubre de 2024, tampoco fue presentada por Cardama cuando tuvo una nueva y expresa oportunidad de hacerlo durante el procedimiento administrativo de rescisión del Contrato. Es decir, aun cuando el Estado cuestionó formalmente el cumplimiento de sus obligaciones y le confirió vista para que formulara sus descargos y aportara los elementos que entendiera pertinentes, Cardama no incorporó la póliza que hoy aparece identificada como el verdadero instrumento de seguro. Este comportamiento resulta particularmente significativo. Si la verdadera póliza hubiera acreditado efectivamente el cumplimiento de la Cláusula 11 del Contrato, el procedimiento de rescisión constituía precisamente la oportunidad natural para presentarla y demostrar que la obligación había sido cumplida. Sin embargo, Cardama tampoco lo hizo en esa instancia. La explicación que surge de la prueba reunida es especialmente grave: la verdadera póliza no fue entregada porque su contenido tampoco cumplía con las exigencias contractuales. </w:t>
      </w:r>
    </w:p>
    <w:p w14:paraId="00000114">
      <w:pPr>
        <w:pStyle w:val="3"/>
        <w:rPr>
          <w:u w:val="none"/>
        </w:rPr>
      </w:pPr>
      <w:bookmarkStart w:id="24" w:name="_heading=h.3cl6v8izgo13" w:colFirst="0" w:colLast="0"/>
      <w:bookmarkEnd w:id="24"/>
      <w:r>
        <w:rPr>
          <w:u w:val="none"/>
          <w:rtl w:val="0"/>
        </w:rPr>
        <w:t>N. SOBRE LA ENTRADA EN VIGOR DEL CONTRATO y CARTA DE CRÉDITO</w:t>
      </w:r>
    </w:p>
    <w:p w14:paraId="00000115">
      <w:pPr>
        <w:numPr>
          <w:ilvl w:val="0"/>
          <w:numId w:val="1"/>
        </w:numPr>
        <w:spacing w:before="240" w:after="240"/>
        <w:ind w:left="0" w:hanging="566"/>
      </w:pPr>
      <w:r>
        <w:rPr>
          <w:rtl w:val="0"/>
        </w:rPr>
        <w:t>Conforme a la cláusula 36 del contrato, su entrada en vigor quedó sujeta al cumplimiento acumulativo de las siguientes condiciones: (i) firma por ambas partes; (ii) recepción por el Astillero del primer pago (10% por buque, Hito A); (iii) constitución de las Garantías de Reembolso y de Fiel Cumplimiento; y (iv) apertura y aceptación de la Carta de Crédito correspondiente al segundo hito de pago y posteriores, conforme al Artículo 12.</w:t>
      </w:r>
    </w:p>
    <w:p w14:paraId="00000116">
      <w:pPr>
        <w:spacing w:before="240" w:after="240"/>
      </w:pPr>
      <w:r>
        <w:rPr>
          <w:rtl w:val="0"/>
        </w:rPr>
        <w:t xml:space="preserve">Adicionalmente, como se desarrolló anteriormente el Contrato estableció un plazo “long-stop” de 60 días desde su firma para el cumplimiento de las condiciones de entrada en vigor. Vencido dicho plazo sin que estas se hubieran cumplido, el Contrato se considerará automáticamente nulo y no celebrado, salvo acuerdo en contrario entre las partes. Como ya se desarrolló, existió una aceptación tácita del MDN de las prórrogas, y por tanto de la no aplicación de la resolución automática prevista para el transcurso de los 60 días desde la firma del Contrato. </w:t>
      </w:r>
    </w:p>
    <w:p w14:paraId="00000117">
      <w:pPr>
        <w:numPr>
          <w:ilvl w:val="0"/>
          <w:numId w:val="1"/>
        </w:numPr>
        <w:spacing w:before="240" w:after="240"/>
        <w:ind w:left="0" w:hanging="566"/>
      </w:pPr>
      <w:r>
        <w:rPr>
          <w:rtl w:val="0"/>
        </w:rPr>
        <w:t xml:space="preserve">En un contrato de construcción naval estándar, los pagos suelen vincularse al avance físico y técnico de la obra, de modo que exista una correlación directa entre los desembolsos y el progreso verificable de la construcción. </w:t>
      </w:r>
    </w:p>
    <w:p w14:paraId="00000118">
      <w:pPr>
        <w:numPr>
          <w:ilvl w:val="0"/>
          <w:numId w:val="1"/>
        </w:numPr>
        <w:spacing w:before="240" w:after="240"/>
        <w:ind w:left="0" w:hanging="566"/>
      </w:pPr>
      <w:r>
        <w:rPr>
          <w:rtl w:val="0"/>
        </w:rPr>
        <w:t>Conforme al Artículo 11 del Contrato, el precio se distribuye entre siete hitos de pago: 10% a la firma del Contrato (Hito A), 10% con la aprobación del plano de la cuaderna maestra (Hito B), 30% con la puesta de la quilla (Hito C), 20% con la recepción de los motores principales en el Astillero (Hito D), 20% con la botadura (Hito E), 5% con la finalización de las pruebas de mar (Hito F) y el 5% restante con la entrega y aceptación del buque (Hito G).</w:t>
      </w:r>
    </w:p>
    <w:p w14:paraId="00000119">
      <w:pPr>
        <w:spacing w:before="240" w:after="240"/>
      </w:pPr>
      <w:r>
        <w:rPr>
          <w:rtl w:val="0"/>
        </w:rPr>
        <w:t xml:space="preserve">Esta estructura de pagos resulta particularmente favorable para Cardama desde el punto de vista financiero, en la medida en que le permite percibir el 50% del precio total unitario con la puesta de quilla del Buque C-250. Este esquema anticipado de ingresos proporciona al Astillero una mayor disponibilidad de fondos durante las primeras etapas de construcción y, al menos en principio, reduce sus necesidades de financiación para afrontar los costes asociados a la ejecución de la obra. </w:t>
      </w:r>
    </w:p>
    <w:p w14:paraId="0000011A">
      <w:pPr>
        <w:numPr>
          <w:ilvl w:val="0"/>
          <w:numId w:val="1"/>
        </w:numPr>
        <w:ind w:left="0" w:hanging="566"/>
      </w:pPr>
      <w:r>
        <w:rPr>
          <w:rtl w:val="0"/>
        </w:rPr>
        <w:t>Salvo el primer hito de cada Buque (transferencia bancaria), los siguientes pagos exigen apertura y aceptación por Cardama de una carta de crédito irrevocable y confirmada por el banco designado por el MDN, siendo esta una condición necesaria para la entrada en vigor del Contrato. El Banco de la República de Uruguay mediante mensaje SWIFT comunicó la apertura del crédito documentario el 11 de febrero de 2025.</w:t>
      </w:r>
    </w:p>
    <w:p w14:paraId="0000011B">
      <w:pPr>
        <w:numPr>
          <w:ilvl w:val="0"/>
          <w:numId w:val="1"/>
        </w:numPr>
        <w:ind w:left="0" w:hanging="566"/>
      </w:pPr>
      <w:r>
        <w:rPr>
          <w:rtl w:val="0"/>
        </w:rPr>
        <w:t>Esquema de pagos de cada Buque</w:t>
      </w:r>
    </w:p>
    <w:tbl>
      <w:tblPr>
        <w:tblStyle w:val="26"/>
        <w:tblW w:w="849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100" w:type="dxa"/>
          <w:left w:w="100" w:type="dxa"/>
          <w:bottom w:w="100" w:type="dxa"/>
          <w:right w:w="100" w:type="dxa"/>
        </w:tblCellMar>
      </w:tblPr>
      <w:tblGrid>
        <w:gridCol w:w="1605"/>
        <w:gridCol w:w="2190"/>
        <w:gridCol w:w="1380"/>
        <w:gridCol w:w="990"/>
        <w:gridCol w:w="1155"/>
        <w:gridCol w:w="1170"/>
      </w:tblGrid>
      <w:tr w14:paraId="03C25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200" w:hRule="atLeast"/>
        </w:trPr>
        <w:tc>
          <w:tcPr>
            <w:tcBorders>
              <w:top w:val="single" w:color="000000" w:sz="6" w:space="0"/>
              <w:left w:val="single" w:color="000000" w:sz="6" w:space="0"/>
              <w:bottom w:val="single" w:color="000000" w:sz="6" w:space="0"/>
              <w:right w:val="single" w:color="000000" w:sz="6" w:space="0"/>
            </w:tcBorders>
            <w:shd w:val="clear" w:color="auto" w:fill="D9D9D9"/>
            <w:tcMar>
              <w:top w:w="20" w:type="dxa"/>
              <w:left w:w="20" w:type="dxa"/>
              <w:bottom w:w="20" w:type="dxa"/>
              <w:right w:w="20" w:type="dxa"/>
            </w:tcMar>
            <w:vAlign w:val="center"/>
          </w:tcPr>
          <w:p w14:paraId="0000011C">
            <w:pPr>
              <w:spacing w:before="0" w:line="276" w:lineRule="auto"/>
              <w:ind w:left="113" w:firstLine="0"/>
              <w:jc w:val="left"/>
              <w:rPr>
                <w:b/>
                <w:bCs/>
              </w:rPr>
            </w:pPr>
            <w:r>
              <w:rPr>
                <w:b/>
                <w:bCs/>
                <w:rtl w:val="0"/>
              </w:rPr>
              <w:t>Hito</w:t>
            </w:r>
          </w:p>
        </w:tc>
        <w:tc>
          <w:tcPr>
            <w:tcBorders>
              <w:top w:val="single" w:color="000000" w:sz="6" w:space="0"/>
              <w:left w:val="single" w:color="000000" w:sz="6" w:space="0"/>
              <w:bottom w:val="single" w:color="000000" w:sz="6" w:space="0"/>
              <w:right w:val="single" w:color="000000" w:sz="6" w:space="0"/>
            </w:tcBorders>
            <w:shd w:val="clear" w:color="auto" w:fill="D9D9D9"/>
            <w:tcMar>
              <w:top w:w="20" w:type="dxa"/>
              <w:left w:w="20" w:type="dxa"/>
              <w:bottom w:w="20" w:type="dxa"/>
              <w:right w:w="20" w:type="dxa"/>
            </w:tcMar>
            <w:vAlign w:val="center"/>
          </w:tcPr>
          <w:p w14:paraId="0000011D">
            <w:pPr>
              <w:spacing w:before="0" w:line="276" w:lineRule="auto"/>
              <w:ind w:left="113" w:firstLine="0"/>
              <w:jc w:val="left"/>
              <w:rPr>
                <w:b/>
                <w:bCs/>
              </w:rPr>
            </w:pPr>
            <w:r>
              <w:rPr>
                <w:b/>
                <w:bCs/>
                <w:rtl w:val="0"/>
              </w:rPr>
              <w:t>Documentos</w:t>
            </w:r>
          </w:p>
        </w:tc>
        <w:tc>
          <w:tcPr>
            <w:tcBorders>
              <w:top w:val="single" w:color="000000" w:sz="6" w:space="0"/>
              <w:left w:val="single" w:color="000000" w:sz="6" w:space="0"/>
              <w:bottom w:val="single" w:color="000000" w:sz="6" w:space="0"/>
              <w:right w:val="single" w:color="000000" w:sz="6" w:space="0"/>
            </w:tcBorders>
            <w:shd w:val="clear" w:color="auto" w:fill="D9D9D9"/>
            <w:tcMar>
              <w:top w:w="20" w:type="dxa"/>
              <w:left w:w="20" w:type="dxa"/>
              <w:bottom w:w="20" w:type="dxa"/>
              <w:right w:w="20" w:type="dxa"/>
            </w:tcMar>
            <w:vAlign w:val="center"/>
          </w:tcPr>
          <w:p w14:paraId="0000011E">
            <w:pPr>
              <w:spacing w:before="0" w:line="276" w:lineRule="auto"/>
              <w:ind w:left="113" w:firstLine="0"/>
              <w:jc w:val="left"/>
              <w:rPr>
                <w:b/>
                <w:bCs/>
              </w:rPr>
            </w:pPr>
            <w:r>
              <w:rPr>
                <w:b/>
                <w:bCs/>
                <w:rtl w:val="0"/>
              </w:rPr>
              <w:t>Forma de pago</w:t>
            </w:r>
          </w:p>
        </w:tc>
        <w:tc>
          <w:tcPr>
            <w:tcBorders>
              <w:top w:val="single" w:color="000000" w:sz="6" w:space="0"/>
              <w:left w:val="single" w:color="000000" w:sz="6" w:space="0"/>
              <w:bottom w:val="single" w:color="000000" w:sz="6" w:space="0"/>
              <w:right w:val="single" w:color="000000" w:sz="6" w:space="0"/>
            </w:tcBorders>
            <w:shd w:val="clear" w:color="auto" w:fill="D9D9D9"/>
            <w:tcMar>
              <w:top w:w="20" w:type="dxa"/>
              <w:left w:w="20" w:type="dxa"/>
              <w:bottom w:w="20" w:type="dxa"/>
              <w:right w:w="20" w:type="dxa"/>
            </w:tcMar>
            <w:vAlign w:val="center"/>
          </w:tcPr>
          <w:p w14:paraId="0000011F">
            <w:pPr>
              <w:spacing w:before="0" w:line="276" w:lineRule="auto"/>
              <w:ind w:left="113" w:firstLine="0"/>
              <w:jc w:val="left"/>
              <w:rPr>
                <w:b/>
                <w:bCs/>
              </w:rPr>
            </w:pPr>
            <w:r>
              <w:rPr>
                <w:b/>
                <w:bCs/>
                <w:rtl w:val="0"/>
              </w:rPr>
              <w:t>% sobre precio del buque</w:t>
            </w:r>
          </w:p>
        </w:tc>
        <w:tc>
          <w:tcPr>
            <w:tcBorders>
              <w:top w:val="single" w:color="000000" w:sz="6" w:space="0"/>
              <w:left w:val="single" w:color="000000" w:sz="6" w:space="0"/>
              <w:bottom w:val="single" w:color="000000" w:sz="6" w:space="0"/>
              <w:right w:val="single" w:color="000000" w:sz="6" w:space="0"/>
            </w:tcBorders>
            <w:shd w:val="clear" w:color="auto" w:fill="D9D9D9"/>
            <w:tcMar>
              <w:top w:w="20" w:type="dxa"/>
              <w:left w:w="20" w:type="dxa"/>
              <w:bottom w:w="20" w:type="dxa"/>
              <w:right w:w="20" w:type="dxa"/>
            </w:tcMar>
            <w:vAlign w:val="center"/>
          </w:tcPr>
          <w:p w14:paraId="00000120">
            <w:pPr>
              <w:spacing w:before="0" w:line="276" w:lineRule="auto"/>
              <w:ind w:left="113" w:firstLine="0"/>
              <w:jc w:val="left"/>
              <w:rPr>
                <w:b/>
                <w:bCs/>
              </w:rPr>
            </w:pPr>
            <w:r>
              <w:rPr>
                <w:b/>
                <w:bCs/>
                <w:rtl w:val="0"/>
              </w:rPr>
              <w:t>Buque 1 (EUR)</w:t>
            </w:r>
          </w:p>
        </w:tc>
        <w:tc>
          <w:tcPr>
            <w:tcBorders>
              <w:top w:val="single" w:color="000000" w:sz="6" w:space="0"/>
              <w:left w:val="single" w:color="000000" w:sz="6" w:space="0"/>
              <w:bottom w:val="single" w:color="000000" w:sz="6" w:space="0"/>
              <w:right w:val="single" w:color="000000" w:sz="6" w:space="0"/>
            </w:tcBorders>
            <w:shd w:val="clear" w:color="auto" w:fill="D9D9D9"/>
            <w:tcMar>
              <w:top w:w="20" w:type="dxa"/>
              <w:left w:w="20" w:type="dxa"/>
              <w:bottom w:w="20" w:type="dxa"/>
              <w:right w:w="20" w:type="dxa"/>
            </w:tcMar>
            <w:vAlign w:val="center"/>
          </w:tcPr>
          <w:p w14:paraId="00000121">
            <w:pPr>
              <w:spacing w:before="0" w:line="276" w:lineRule="auto"/>
              <w:ind w:left="113" w:firstLine="0"/>
              <w:jc w:val="left"/>
              <w:rPr>
                <w:b/>
                <w:bCs/>
              </w:rPr>
            </w:pPr>
            <w:r>
              <w:rPr>
                <w:b/>
                <w:bCs/>
                <w:rtl w:val="0"/>
              </w:rPr>
              <w:t>Buque 2 (EUR)</w:t>
            </w:r>
          </w:p>
        </w:tc>
      </w:tr>
      <w:tr w14:paraId="75B3D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485" w:hRule="atLeast"/>
        </w:trPr>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22">
            <w:pPr>
              <w:spacing w:before="0" w:line="276" w:lineRule="auto"/>
              <w:ind w:left="113" w:firstLine="0"/>
              <w:jc w:val="left"/>
              <w:rPr>
                <w:b/>
                <w:bCs/>
              </w:rPr>
            </w:pPr>
            <w:r>
              <w:rPr>
                <w:b/>
                <w:bCs/>
                <w:rtl w:val="0"/>
              </w:rPr>
              <w:t>A. Firma del Contrato</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23">
            <w:pPr>
              <w:numPr>
                <w:ilvl w:val="0"/>
                <w:numId w:val="2"/>
              </w:numPr>
              <w:spacing w:before="0" w:after="0" w:line="276" w:lineRule="auto"/>
              <w:ind w:left="283" w:hanging="141"/>
              <w:jc w:val="left"/>
            </w:pPr>
            <w:r>
              <w:rPr>
                <w:rtl w:val="0"/>
              </w:rPr>
              <w:t>Factura comercial</w:t>
            </w:r>
          </w:p>
          <w:p w14:paraId="00000124">
            <w:pPr>
              <w:numPr>
                <w:ilvl w:val="0"/>
                <w:numId w:val="2"/>
              </w:numPr>
              <w:spacing w:before="0" w:after="0" w:line="276" w:lineRule="auto"/>
              <w:ind w:left="283" w:hanging="141"/>
              <w:jc w:val="left"/>
            </w:pPr>
            <w:r>
              <w:rPr>
                <w:rtl w:val="0"/>
              </w:rPr>
              <w:t>Garantía de Reembolso</w:t>
            </w:r>
          </w:p>
          <w:p w14:paraId="00000125">
            <w:pPr>
              <w:numPr>
                <w:ilvl w:val="0"/>
                <w:numId w:val="2"/>
              </w:numPr>
              <w:spacing w:before="0" w:line="276" w:lineRule="auto"/>
              <w:ind w:left="283" w:hanging="141"/>
              <w:jc w:val="left"/>
            </w:pPr>
            <w:r>
              <w:rPr>
                <w:rtl w:val="0"/>
              </w:rPr>
              <w:t>Garantía de Fiel Cumplimiento</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26">
            <w:pPr>
              <w:spacing w:before="0" w:line="276" w:lineRule="auto"/>
              <w:ind w:left="56" w:right="56" w:firstLine="0"/>
              <w:jc w:val="left"/>
            </w:pPr>
            <w:r>
              <w:rPr>
                <w:rtl w:val="0"/>
              </w:rPr>
              <w:t>Transferencia bancaria</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27">
            <w:pPr>
              <w:spacing w:before="0" w:line="276" w:lineRule="auto"/>
              <w:ind w:left="56" w:right="56" w:firstLine="0"/>
              <w:jc w:val="left"/>
              <w:rPr>
                <w:b/>
                <w:bCs/>
              </w:rPr>
            </w:pPr>
            <w:r>
              <w:rPr>
                <w:b/>
                <w:bCs/>
                <w:rtl w:val="0"/>
              </w:rPr>
              <w:t>10%</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28">
            <w:pPr>
              <w:spacing w:before="0" w:line="276" w:lineRule="auto"/>
              <w:ind w:left="113" w:firstLine="0"/>
              <w:jc w:val="left"/>
            </w:pPr>
            <w:r>
              <w:rPr>
                <w:rtl w:val="0"/>
              </w:rPr>
              <w:t>4.113.500</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29">
            <w:pPr>
              <w:spacing w:before="0" w:line="276" w:lineRule="auto"/>
              <w:ind w:left="113" w:firstLine="0"/>
              <w:jc w:val="left"/>
            </w:pPr>
            <w:r>
              <w:rPr>
                <w:rtl w:val="0"/>
              </w:rPr>
              <w:t>4.113.500</w:t>
            </w:r>
          </w:p>
        </w:tc>
      </w:tr>
      <w:tr w14:paraId="74BDA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2910" w:hRule="atLeast"/>
        </w:trPr>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2A">
            <w:pPr>
              <w:spacing w:before="0" w:line="276" w:lineRule="auto"/>
              <w:ind w:left="113" w:firstLine="0"/>
              <w:jc w:val="left"/>
              <w:rPr>
                <w:b/>
                <w:bCs/>
              </w:rPr>
            </w:pPr>
            <w:r>
              <w:rPr>
                <w:b/>
                <w:bCs/>
                <w:rtl w:val="0"/>
              </w:rPr>
              <w:t>B. Aprobación del plano de la cuaderna maestra</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2B">
            <w:pPr>
              <w:numPr>
                <w:ilvl w:val="0"/>
                <w:numId w:val="3"/>
              </w:numPr>
              <w:spacing w:before="0" w:after="0" w:line="276" w:lineRule="auto"/>
              <w:ind w:left="283" w:hanging="141"/>
              <w:jc w:val="left"/>
            </w:pPr>
            <w:r>
              <w:rPr>
                <w:rtl w:val="0"/>
              </w:rPr>
              <w:t>Factura comercial</w:t>
            </w:r>
          </w:p>
          <w:p w14:paraId="0000012C">
            <w:pPr>
              <w:numPr>
                <w:ilvl w:val="0"/>
                <w:numId w:val="3"/>
              </w:numPr>
              <w:spacing w:before="0" w:after="0" w:line="276" w:lineRule="auto"/>
              <w:ind w:left="283" w:hanging="141"/>
              <w:jc w:val="left"/>
            </w:pPr>
            <w:r>
              <w:rPr>
                <w:rtl w:val="0"/>
              </w:rPr>
              <w:t>Plano aprobado por la sociedad de clasificación</w:t>
            </w:r>
          </w:p>
          <w:p w14:paraId="0000012D">
            <w:pPr>
              <w:numPr>
                <w:ilvl w:val="0"/>
                <w:numId w:val="3"/>
              </w:numPr>
              <w:spacing w:before="0" w:line="276" w:lineRule="auto"/>
              <w:ind w:left="283" w:hanging="141"/>
              <w:jc w:val="left"/>
            </w:pPr>
            <w:r>
              <w:rPr>
                <w:rtl w:val="0"/>
              </w:rPr>
              <w:t>Orden de aprobación del Comprador tras recepción de aceptaciones de pedido de Caterpillar</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2E">
            <w:pPr>
              <w:spacing w:before="0" w:line="276" w:lineRule="auto"/>
              <w:ind w:left="113" w:firstLine="0"/>
              <w:jc w:val="left"/>
            </w:pPr>
            <w:r>
              <w:rPr>
                <w:rtl w:val="0"/>
              </w:rPr>
              <w:t>Carta de Crédito confirmada</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2F">
            <w:pPr>
              <w:spacing w:before="0" w:line="276" w:lineRule="auto"/>
              <w:ind w:left="113" w:firstLine="0"/>
              <w:jc w:val="left"/>
              <w:rPr>
                <w:b/>
                <w:bCs/>
              </w:rPr>
            </w:pPr>
            <w:r>
              <w:rPr>
                <w:b/>
                <w:bCs/>
                <w:rtl w:val="0"/>
              </w:rPr>
              <w:t>10%</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0">
            <w:pPr>
              <w:spacing w:before="0" w:line="276" w:lineRule="auto"/>
              <w:ind w:left="113" w:firstLine="0"/>
              <w:jc w:val="left"/>
            </w:pPr>
            <w:r>
              <w:rPr>
                <w:rtl w:val="0"/>
              </w:rPr>
              <w:t>4.113.500</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1">
            <w:pPr>
              <w:spacing w:before="0" w:line="276" w:lineRule="auto"/>
              <w:ind w:left="113" w:firstLine="0"/>
              <w:jc w:val="left"/>
            </w:pPr>
            <w:r>
              <w:rPr>
                <w:rtl w:val="0"/>
              </w:rPr>
              <w:t>4.113.500</w:t>
            </w:r>
          </w:p>
        </w:tc>
      </w:tr>
      <w:tr w14:paraId="73DB9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200" w:hRule="atLeast"/>
        </w:trPr>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2">
            <w:pPr>
              <w:spacing w:before="0" w:line="276" w:lineRule="auto"/>
              <w:ind w:left="113" w:firstLine="0"/>
              <w:jc w:val="left"/>
              <w:rPr>
                <w:b/>
                <w:bCs/>
              </w:rPr>
            </w:pPr>
            <w:r>
              <w:rPr>
                <w:b/>
                <w:bCs/>
                <w:rtl w:val="0"/>
              </w:rPr>
              <w:t>C. Puesta de la quilla</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3">
            <w:pPr>
              <w:numPr>
                <w:ilvl w:val="0"/>
                <w:numId w:val="4"/>
              </w:numPr>
              <w:spacing w:before="0" w:after="0" w:line="276" w:lineRule="auto"/>
              <w:ind w:left="283" w:hanging="141"/>
              <w:jc w:val="left"/>
            </w:pPr>
            <w:r>
              <w:rPr>
                <w:rtl w:val="0"/>
              </w:rPr>
              <w:t>Factura comercial</w:t>
            </w:r>
          </w:p>
          <w:p w14:paraId="00000134">
            <w:pPr>
              <w:numPr>
                <w:ilvl w:val="0"/>
                <w:numId w:val="4"/>
              </w:numPr>
              <w:spacing w:before="0" w:line="276" w:lineRule="auto"/>
              <w:ind w:left="283" w:hanging="141"/>
              <w:jc w:val="left"/>
            </w:pPr>
            <w:r>
              <w:rPr>
                <w:rtl w:val="0"/>
              </w:rPr>
              <w:t>Certificado de la sociedad de clasificación</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5">
            <w:pPr>
              <w:spacing w:before="0" w:line="276" w:lineRule="auto"/>
              <w:ind w:left="113" w:firstLine="0"/>
              <w:jc w:val="left"/>
            </w:pPr>
            <w:r>
              <w:rPr>
                <w:rtl w:val="0"/>
              </w:rPr>
              <w:t>Carta de Crédito confirmada</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6">
            <w:pPr>
              <w:spacing w:before="0" w:line="276" w:lineRule="auto"/>
              <w:ind w:left="113" w:firstLine="0"/>
              <w:jc w:val="left"/>
              <w:rPr>
                <w:b/>
                <w:bCs/>
              </w:rPr>
            </w:pPr>
            <w:r>
              <w:rPr>
                <w:b/>
                <w:bCs/>
                <w:rtl w:val="0"/>
              </w:rPr>
              <w:t>30%</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7">
            <w:pPr>
              <w:spacing w:before="0" w:line="276" w:lineRule="auto"/>
              <w:ind w:left="113" w:firstLine="0"/>
              <w:jc w:val="left"/>
            </w:pPr>
            <w:r>
              <w:rPr>
                <w:rtl w:val="0"/>
              </w:rPr>
              <w:t>12.340.500</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8">
            <w:pPr>
              <w:spacing w:before="0" w:line="276" w:lineRule="auto"/>
              <w:ind w:left="113" w:firstLine="0"/>
              <w:jc w:val="left"/>
            </w:pPr>
            <w:r>
              <w:rPr>
                <w:rtl w:val="0"/>
              </w:rPr>
              <w:t>12.340.500</w:t>
            </w:r>
          </w:p>
        </w:tc>
      </w:tr>
      <w:tr w14:paraId="5A2DF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200" w:hRule="atLeast"/>
        </w:trPr>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9">
            <w:pPr>
              <w:spacing w:before="0" w:line="276" w:lineRule="auto"/>
              <w:ind w:left="113" w:firstLine="0"/>
              <w:jc w:val="left"/>
              <w:rPr>
                <w:b/>
                <w:bCs/>
              </w:rPr>
            </w:pPr>
            <w:r>
              <w:rPr>
                <w:b/>
                <w:bCs/>
                <w:rtl w:val="0"/>
              </w:rPr>
              <w:t>D. Recepción de motores principales en el Astillero</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A">
            <w:pPr>
              <w:numPr>
                <w:ilvl w:val="0"/>
                <w:numId w:val="5"/>
              </w:numPr>
              <w:spacing w:before="0" w:after="0" w:line="276" w:lineRule="auto"/>
              <w:ind w:left="283" w:hanging="141"/>
              <w:jc w:val="left"/>
            </w:pPr>
            <w:r>
              <w:rPr>
                <w:rtl w:val="0"/>
              </w:rPr>
              <w:t>Factura comercial</w:t>
            </w:r>
          </w:p>
          <w:p w14:paraId="0000013B">
            <w:pPr>
              <w:numPr>
                <w:ilvl w:val="0"/>
                <w:numId w:val="5"/>
              </w:numPr>
              <w:spacing w:before="0" w:line="276" w:lineRule="auto"/>
              <w:ind w:left="283" w:hanging="141"/>
              <w:jc w:val="left"/>
            </w:pPr>
            <w:r>
              <w:rPr>
                <w:rtl w:val="0"/>
              </w:rPr>
              <w:t>Certificado de la sociedad de clasificación</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C">
            <w:pPr>
              <w:spacing w:before="0" w:line="276" w:lineRule="auto"/>
              <w:ind w:left="113" w:firstLine="0"/>
              <w:jc w:val="left"/>
            </w:pPr>
            <w:r>
              <w:rPr>
                <w:rtl w:val="0"/>
              </w:rPr>
              <w:t>Carta de Crédito confirmada</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D">
            <w:pPr>
              <w:spacing w:before="0" w:line="276" w:lineRule="auto"/>
              <w:ind w:left="113" w:firstLine="0"/>
              <w:jc w:val="left"/>
              <w:rPr>
                <w:b/>
                <w:bCs/>
              </w:rPr>
            </w:pPr>
            <w:r>
              <w:rPr>
                <w:b/>
                <w:bCs/>
                <w:rtl w:val="0"/>
              </w:rPr>
              <w:t>20%</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E">
            <w:pPr>
              <w:spacing w:before="0" w:line="276" w:lineRule="auto"/>
              <w:ind w:left="113" w:firstLine="0"/>
              <w:jc w:val="left"/>
            </w:pPr>
            <w:r>
              <w:rPr>
                <w:rtl w:val="0"/>
              </w:rPr>
              <w:t>8.227.000</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3F">
            <w:pPr>
              <w:spacing w:before="0" w:line="276" w:lineRule="auto"/>
              <w:ind w:left="113" w:firstLine="0"/>
              <w:jc w:val="left"/>
            </w:pPr>
            <w:r>
              <w:rPr>
                <w:rtl w:val="0"/>
              </w:rPr>
              <w:t>8.227.000</w:t>
            </w:r>
          </w:p>
        </w:tc>
      </w:tr>
      <w:tr w14:paraId="08E24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200" w:hRule="atLeast"/>
        </w:trPr>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0">
            <w:pPr>
              <w:spacing w:before="0" w:line="276" w:lineRule="auto"/>
              <w:ind w:left="113" w:firstLine="0"/>
              <w:jc w:val="left"/>
              <w:rPr>
                <w:b/>
                <w:bCs/>
              </w:rPr>
            </w:pPr>
            <w:r>
              <w:rPr>
                <w:b/>
                <w:bCs/>
                <w:rtl w:val="0"/>
              </w:rPr>
              <w:t>E. Botadura</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1">
            <w:pPr>
              <w:numPr>
                <w:ilvl w:val="0"/>
                <w:numId w:val="6"/>
              </w:numPr>
              <w:spacing w:before="0" w:after="0" w:line="276" w:lineRule="auto"/>
              <w:ind w:left="283" w:hanging="141"/>
              <w:jc w:val="left"/>
            </w:pPr>
            <w:r>
              <w:rPr>
                <w:rtl w:val="0"/>
              </w:rPr>
              <w:t>Factura comercial</w:t>
            </w:r>
          </w:p>
          <w:p w14:paraId="00000142">
            <w:pPr>
              <w:numPr>
                <w:ilvl w:val="0"/>
                <w:numId w:val="6"/>
              </w:numPr>
              <w:spacing w:before="0" w:line="276" w:lineRule="auto"/>
              <w:ind w:left="283" w:hanging="141"/>
              <w:jc w:val="left"/>
            </w:pPr>
            <w:r>
              <w:rPr>
                <w:rtl w:val="0"/>
              </w:rPr>
              <w:t>Certificado de la sociedad de clasificación</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3">
            <w:pPr>
              <w:spacing w:before="0" w:line="276" w:lineRule="auto"/>
              <w:ind w:left="113" w:firstLine="0"/>
              <w:jc w:val="left"/>
            </w:pPr>
            <w:r>
              <w:rPr>
                <w:rtl w:val="0"/>
              </w:rPr>
              <w:t>Carta de Crédito confirmada</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4">
            <w:pPr>
              <w:spacing w:before="0" w:line="276" w:lineRule="auto"/>
              <w:ind w:left="113" w:firstLine="0"/>
              <w:jc w:val="left"/>
              <w:rPr>
                <w:b/>
                <w:bCs/>
              </w:rPr>
            </w:pPr>
            <w:r>
              <w:rPr>
                <w:b/>
                <w:bCs/>
                <w:rtl w:val="0"/>
              </w:rPr>
              <w:t>20%</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5">
            <w:pPr>
              <w:spacing w:before="0" w:line="276" w:lineRule="auto"/>
              <w:ind w:left="113" w:firstLine="0"/>
              <w:jc w:val="left"/>
            </w:pPr>
            <w:r>
              <w:rPr>
                <w:rtl w:val="0"/>
              </w:rPr>
              <w:t>8.227.000</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6">
            <w:pPr>
              <w:spacing w:before="0" w:line="276" w:lineRule="auto"/>
              <w:ind w:left="113" w:firstLine="0"/>
              <w:jc w:val="left"/>
            </w:pPr>
            <w:r>
              <w:rPr>
                <w:rtl w:val="0"/>
              </w:rPr>
              <w:t>8.227.000</w:t>
            </w:r>
          </w:p>
        </w:tc>
      </w:tr>
      <w:tr w14:paraId="04EF6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200" w:hRule="atLeast"/>
        </w:trPr>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7">
            <w:pPr>
              <w:spacing w:before="0" w:line="276" w:lineRule="auto"/>
              <w:ind w:left="113" w:firstLine="0"/>
              <w:jc w:val="left"/>
              <w:rPr>
                <w:b/>
                <w:bCs/>
              </w:rPr>
            </w:pPr>
            <w:r>
              <w:rPr>
                <w:b/>
                <w:bCs/>
                <w:rtl w:val="0"/>
              </w:rPr>
              <w:t>F. Finalización de pruebas de mar</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8">
            <w:pPr>
              <w:numPr>
                <w:ilvl w:val="0"/>
                <w:numId w:val="7"/>
              </w:numPr>
              <w:spacing w:before="0" w:after="0" w:line="276" w:lineRule="auto"/>
              <w:ind w:left="283" w:hanging="141"/>
              <w:jc w:val="left"/>
            </w:pPr>
            <w:r>
              <w:rPr>
                <w:rtl w:val="0"/>
              </w:rPr>
              <w:t>Factura comercial</w:t>
            </w:r>
          </w:p>
          <w:p w14:paraId="00000149">
            <w:pPr>
              <w:numPr>
                <w:ilvl w:val="0"/>
                <w:numId w:val="7"/>
              </w:numPr>
              <w:spacing w:before="0" w:line="276" w:lineRule="auto"/>
              <w:ind w:left="283" w:hanging="141"/>
              <w:jc w:val="left"/>
            </w:pPr>
            <w:r>
              <w:rPr>
                <w:rtl w:val="0"/>
              </w:rPr>
              <w:t>Certificado de la sociedad de clasificación</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A">
            <w:pPr>
              <w:spacing w:before="0" w:line="276" w:lineRule="auto"/>
              <w:ind w:left="113" w:firstLine="0"/>
              <w:jc w:val="left"/>
            </w:pPr>
            <w:r>
              <w:rPr>
                <w:rtl w:val="0"/>
              </w:rPr>
              <w:t>Carta de Crédito confirmada</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B">
            <w:pPr>
              <w:spacing w:before="0" w:line="276" w:lineRule="auto"/>
              <w:ind w:left="113" w:firstLine="0"/>
              <w:jc w:val="left"/>
              <w:rPr>
                <w:b/>
                <w:bCs/>
              </w:rPr>
            </w:pPr>
            <w:r>
              <w:rPr>
                <w:b/>
                <w:bCs/>
                <w:rtl w:val="0"/>
              </w:rPr>
              <w:t>5%</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C">
            <w:pPr>
              <w:spacing w:before="0" w:line="276" w:lineRule="auto"/>
              <w:ind w:left="113" w:firstLine="0"/>
              <w:jc w:val="left"/>
            </w:pPr>
            <w:r>
              <w:rPr>
                <w:rtl w:val="0"/>
              </w:rPr>
              <w:t>2.056.750</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D">
            <w:pPr>
              <w:spacing w:before="0" w:line="276" w:lineRule="auto"/>
              <w:ind w:left="113" w:firstLine="0"/>
              <w:jc w:val="left"/>
            </w:pPr>
            <w:r>
              <w:rPr>
                <w:rtl w:val="0"/>
              </w:rPr>
              <w:t>2.056.750</w:t>
            </w:r>
          </w:p>
        </w:tc>
      </w:tr>
      <w:tr w14:paraId="3944E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1200" w:hRule="atLeast"/>
        </w:trPr>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E">
            <w:pPr>
              <w:spacing w:before="0" w:line="276" w:lineRule="auto"/>
              <w:ind w:left="113" w:firstLine="0"/>
              <w:jc w:val="left"/>
              <w:rPr>
                <w:b/>
                <w:bCs/>
              </w:rPr>
            </w:pPr>
            <w:r>
              <w:rPr>
                <w:b/>
                <w:bCs/>
                <w:rtl w:val="0"/>
              </w:rPr>
              <w:t>G. Entrega en Vigo y Acta de Entrega y Aceptación</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4F">
            <w:pPr>
              <w:numPr>
                <w:ilvl w:val="0"/>
                <w:numId w:val="8"/>
              </w:numPr>
              <w:spacing w:before="0" w:after="0" w:line="276" w:lineRule="auto"/>
              <w:ind w:left="283" w:hanging="141"/>
              <w:jc w:val="left"/>
            </w:pPr>
            <w:r>
              <w:rPr>
                <w:rtl w:val="0"/>
              </w:rPr>
              <w:t>Factura comercial</w:t>
            </w:r>
          </w:p>
          <w:p w14:paraId="00000150">
            <w:pPr>
              <w:numPr>
                <w:ilvl w:val="0"/>
                <w:numId w:val="8"/>
              </w:numPr>
              <w:spacing w:before="0" w:line="276" w:lineRule="auto"/>
              <w:ind w:left="283" w:hanging="141"/>
              <w:jc w:val="left"/>
            </w:pPr>
            <w:r>
              <w:rPr>
                <w:rtl w:val="0"/>
              </w:rPr>
              <w:t>Acta de Entrega y Aceptación</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51">
            <w:pPr>
              <w:spacing w:before="0" w:line="276" w:lineRule="auto"/>
              <w:ind w:left="113" w:firstLine="0"/>
              <w:jc w:val="left"/>
            </w:pPr>
            <w:r>
              <w:rPr>
                <w:rtl w:val="0"/>
              </w:rPr>
              <w:t>Carta de Crédito confirmada</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52">
            <w:pPr>
              <w:spacing w:before="0" w:line="276" w:lineRule="auto"/>
              <w:ind w:left="113" w:firstLine="0"/>
              <w:jc w:val="left"/>
              <w:rPr>
                <w:b/>
                <w:bCs/>
              </w:rPr>
            </w:pPr>
            <w:r>
              <w:rPr>
                <w:b/>
                <w:bCs/>
                <w:rtl w:val="0"/>
              </w:rPr>
              <w:t>5%</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53">
            <w:pPr>
              <w:spacing w:before="0" w:line="276" w:lineRule="auto"/>
              <w:ind w:left="113" w:firstLine="0"/>
              <w:jc w:val="left"/>
            </w:pPr>
            <w:r>
              <w:rPr>
                <w:rtl w:val="0"/>
              </w:rPr>
              <w:t>2.056.750</w:t>
            </w:r>
          </w:p>
        </w:tc>
        <w:tc>
          <w:tcPr>
            <w:tcBorders>
              <w:top w:val="single" w:color="000000" w:sz="6" w:space="0"/>
              <w:left w:val="single" w:color="000000" w:sz="6" w:space="0"/>
              <w:bottom w:val="single" w:color="000000" w:sz="6" w:space="0"/>
              <w:right w:val="single" w:color="000000" w:sz="6" w:space="0"/>
            </w:tcBorders>
            <w:tcMar>
              <w:top w:w="20" w:type="dxa"/>
              <w:left w:w="20" w:type="dxa"/>
              <w:bottom w:w="20" w:type="dxa"/>
              <w:right w:w="20" w:type="dxa"/>
            </w:tcMar>
          </w:tcPr>
          <w:p w14:paraId="00000154">
            <w:pPr>
              <w:spacing w:before="0" w:line="276" w:lineRule="auto"/>
              <w:ind w:left="113" w:firstLine="0"/>
              <w:jc w:val="left"/>
            </w:pPr>
            <w:r>
              <w:rPr>
                <w:rtl w:val="0"/>
              </w:rPr>
              <w:t>2.056.750</w:t>
            </w:r>
          </w:p>
        </w:tc>
      </w:tr>
      <w:tr w14:paraId="5CE3A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00" w:type="dxa"/>
            <w:left w:w="100" w:type="dxa"/>
            <w:bottom w:w="100" w:type="dxa"/>
            <w:right w:w="100" w:type="dxa"/>
          </w:tblCellMar>
        </w:tblPrEx>
        <w:trPr>
          <w:trHeight w:val="345" w:hRule="atLeast"/>
        </w:trPr>
        <w:tc>
          <w:tcPr>
            <w:tcBorders>
              <w:top w:val="single" w:color="000000" w:sz="6" w:space="0"/>
              <w:left w:val="single" w:color="000000" w:sz="6" w:space="0"/>
              <w:bottom w:val="single" w:color="000000" w:sz="6" w:space="0"/>
              <w:right w:val="single" w:color="000000" w:sz="6" w:space="0"/>
            </w:tcBorders>
            <w:shd w:val="clear" w:color="auto" w:fill="EFEFEF"/>
            <w:tcMar>
              <w:top w:w="20" w:type="dxa"/>
              <w:left w:w="20" w:type="dxa"/>
              <w:bottom w:w="20" w:type="dxa"/>
              <w:right w:w="20" w:type="dxa"/>
            </w:tcMar>
            <w:vAlign w:val="center"/>
          </w:tcPr>
          <w:p w14:paraId="00000155">
            <w:pPr>
              <w:spacing w:before="0" w:line="276" w:lineRule="auto"/>
              <w:ind w:left="113" w:firstLine="0"/>
              <w:jc w:val="left"/>
              <w:rPr>
                <w:b/>
                <w:bCs/>
              </w:rPr>
            </w:pPr>
            <w:r>
              <w:rPr>
                <w:b/>
                <w:bCs/>
                <w:rtl w:val="0"/>
              </w:rPr>
              <w:t>TOTAL</w:t>
            </w:r>
          </w:p>
        </w:tc>
        <w:tc>
          <w:tcPr>
            <w:tcBorders>
              <w:top w:val="single" w:color="000000" w:sz="6" w:space="0"/>
              <w:left w:val="single" w:color="000000" w:sz="6" w:space="0"/>
              <w:bottom w:val="single" w:color="000000" w:sz="6" w:space="0"/>
              <w:right w:val="single" w:color="000000" w:sz="6" w:space="0"/>
            </w:tcBorders>
            <w:shd w:val="clear" w:color="auto" w:fill="EFEFEF"/>
            <w:tcMar>
              <w:top w:w="20" w:type="dxa"/>
              <w:left w:w="20" w:type="dxa"/>
              <w:bottom w:w="20" w:type="dxa"/>
              <w:right w:w="20" w:type="dxa"/>
            </w:tcMar>
            <w:vAlign w:val="center"/>
          </w:tcPr>
          <w:p w14:paraId="00000156">
            <w:pPr>
              <w:spacing w:line="276" w:lineRule="auto"/>
              <w:ind w:left="113" w:firstLine="0"/>
              <w:jc w:val="left"/>
            </w:pPr>
          </w:p>
        </w:tc>
        <w:tc>
          <w:tcPr>
            <w:tcBorders>
              <w:top w:val="single" w:color="000000" w:sz="6" w:space="0"/>
              <w:left w:val="single" w:color="000000" w:sz="6" w:space="0"/>
              <w:bottom w:val="single" w:color="000000" w:sz="6" w:space="0"/>
              <w:right w:val="single" w:color="000000" w:sz="6" w:space="0"/>
            </w:tcBorders>
            <w:shd w:val="clear" w:color="auto" w:fill="EFEFEF"/>
            <w:tcMar>
              <w:top w:w="20" w:type="dxa"/>
              <w:left w:w="20" w:type="dxa"/>
              <w:bottom w:w="20" w:type="dxa"/>
              <w:right w:w="20" w:type="dxa"/>
            </w:tcMar>
            <w:vAlign w:val="center"/>
          </w:tcPr>
          <w:p w14:paraId="00000157">
            <w:pPr>
              <w:spacing w:line="276" w:lineRule="auto"/>
              <w:ind w:left="113" w:firstLine="0"/>
              <w:jc w:val="left"/>
            </w:pPr>
          </w:p>
        </w:tc>
        <w:tc>
          <w:tcPr>
            <w:tcBorders>
              <w:top w:val="single" w:color="000000" w:sz="6" w:space="0"/>
              <w:left w:val="single" w:color="000000" w:sz="6" w:space="0"/>
              <w:bottom w:val="single" w:color="000000" w:sz="6" w:space="0"/>
              <w:right w:val="single" w:color="000000" w:sz="6" w:space="0"/>
            </w:tcBorders>
            <w:shd w:val="clear" w:color="auto" w:fill="EFEFEF"/>
            <w:tcMar>
              <w:top w:w="20" w:type="dxa"/>
              <w:left w:w="20" w:type="dxa"/>
              <w:bottom w:w="20" w:type="dxa"/>
              <w:right w:w="20" w:type="dxa"/>
            </w:tcMar>
            <w:vAlign w:val="center"/>
          </w:tcPr>
          <w:p w14:paraId="00000158">
            <w:pPr>
              <w:spacing w:before="0" w:line="276" w:lineRule="auto"/>
              <w:ind w:left="113" w:firstLine="0"/>
              <w:jc w:val="left"/>
              <w:rPr>
                <w:b/>
                <w:bCs/>
              </w:rPr>
            </w:pPr>
            <w:r>
              <w:rPr>
                <w:b/>
                <w:bCs/>
                <w:rtl w:val="0"/>
              </w:rPr>
              <w:t>100%</w:t>
            </w:r>
          </w:p>
        </w:tc>
        <w:tc>
          <w:tcPr>
            <w:tcBorders>
              <w:top w:val="single" w:color="000000" w:sz="6" w:space="0"/>
              <w:left w:val="single" w:color="000000" w:sz="6" w:space="0"/>
              <w:bottom w:val="single" w:color="000000" w:sz="6" w:space="0"/>
              <w:right w:val="single" w:color="000000" w:sz="6" w:space="0"/>
            </w:tcBorders>
            <w:shd w:val="clear" w:color="auto" w:fill="EFEFEF"/>
            <w:tcMar>
              <w:top w:w="20" w:type="dxa"/>
              <w:left w:w="20" w:type="dxa"/>
              <w:bottom w:w="20" w:type="dxa"/>
              <w:right w:w="20" w:type="dxa"/>
            </w:tcMar>
            <w:vAlign w:val="center"/>
          </w:tcPr>
          <w:p w14:paraId="00000159">
            <w:pPr>
              <w:spacing w:before="0" w:line="276" w:lineRule="auto"/>
              <w:ind w:left="113" w:firstLine="0"/>
              <w:jc w:val="left"/>
              <w:rPr>
                <w:b/>
                <w:bCs/>
              </w:rPr>
            </w:pPr>
            <w:r>
              <w:rPr>
                <w:b/>
                <w:bCs/>
                <w:rtl w:val="0"/>
              </w:rPr>
              <w:t>41.135.000</w:t>
            </w:r>
          </w:p>
        </w:tc>
        <w:tc>
          <w:tcPr>
            <w:tcBorders>
              <w:top w:val="single" w:color="000000" w:sz="6" w:space="0"/>
              <w:left w:val="single" w:color="000000" w:sz="6" w:space="0"/>
              <w:bottom w:val="single" w:color="000000" w:sz="6" w:space="0"/>
              <w:right w:val="single" w:color="000000" w:sz="6" w:space="0"/>
            </w:tcBorders>
            <w:shd w:val="clear" w:color="auto" w:fill="EFEFEF"/>
            <w:tcMar>
              <w:top w:w="20" w:type="dxa"/>
              <w:left w:w="20" w:type="dxa"/>
              <w:bottom w:w="20" w:type="dxa"/>
              <w:right w:w="20" w:type="dxa"/>
            </w:tcMar>
            <w:vAlign w:val="center"/>
          </w:tcPr>
          <w:p w14:paraId="0000015A">
            <w:pPr>
              <w:spacing w:before="0" w:line="276" w:lineRule="auto"/>
              <w:ind w:left="113" w:firstLine="0"/>
              <w:jc w:val="left"/>
              <w:rPr>
                <w:b/>
                <w:bCs/>
              </w:rPr>
            </w:pPr>
            <w:r>
              <w:rPr>
                <w:b/>
                <w:bCs/>
                <w:rtl w:val="0"/>
              </w:rPr>
              <w:t>41.135.000</w:t>
            </w:r>
          </w:p>
        </w:tc>
      </w:tr>
    </w:tbl>
    <w:p w14:paraId="0000015B">
      <w:pPr>
        <w:pStyle w:val="3"/>
        <w:rPr>
          <w:u w:val="none"/>
        </w:rPr>
      </w:pPr>
      <w:bookmarkStart w:id="25" w:name="_heading=h.nhrmono0z6k1" w:colFirst="0" w:colLast="0"/>
      <w:bookmarkEnd w:id="25"/>
    </w:p>
    <w:p w14:paraId="0000015C">
      <w:pPr>
        <w:pStyle w:val="3"/>
        <w:rPr>
          <w:u w:val="none"/>
        </w:rPr>
      </w:pPr>
      <w:bookmarkStart w:id="26" w:name="_heading=h.r9jhxwxl9ng1" w:colFirst="0" w:colLast="0"/>
      <w:bookmarkEnd w:id="26"/>
      <w:r>
        <w:rPr>
          <w:u w:val="none"/>
          <w:rtl w:val="0"/>
        </w:rPr>
        <w:t>Ñ. PRIMER PAGO “HITO A”</w:t>
      </w:r>
    </w:p>
    <w:p w14:paraId="0000015D">
      <w:pPr>
        <w:numPr>
          <w:ilvl w:val="0"/>
          <w:numId w:val="1"/>
        </w:numPr>
        <w:ind w:left="0" w:hanging="566"/>
      </w:pPr>
      <w:r>
        <w:rPr>
          <w:rtl w:val="0"/>
        </w:rPr>
        <w:t xml:space="preserve">El primer pago, correspondiente al Hito A y equivalente al 10% del precio de cada buque, debía efectuarse mediante transferencia bancaria, una vez cumplidas las condiciones documentales previstas contractualmente: (i) presentación de la factura comercial; (ii) constitución de la Garantía de Reembolso; y (iii) constitución de la Garantía de Fiel Cumplimiento. </w:t>
      </w:r>
    </w:p>
    <w:p w14:paraId="0000015E">
      <w:pPr>
        <w:numPr>
          <w:ilvl w:val="0"/>
          <w:numId w:val="1"/>
        </w:numPr>
        <w:ind w:left="0" w:hanging="566"/>
      </w:pPr>
      <w:r>
        <w:rPr>
          <w:rtl w:val="0"/>
        </w:rPr>
        <w:t>En noviembre de 2024 Cardama entregó en mano al Dr. MARTÍNEZ la certificación notarial apostillada de una de las garantías, lo que fue confirmado en la Comisión. El Dr. MARTÍNEZ informó que envió el sobre al Dr. DELPIAZZO sin corroborar que la documentación detallada en la nota firmada por Cardama, donde dice que</w:t>
      </w:r>
      <w:r>
        <w:rPr>
          <w:i/>
          <w:iCs/>
          <w:rtl w:val="0"/>
        </w:rPr>
        <w:t xml:space="preserve"> “se dan por cumplidos los requisitos establecidos en el contrato”</w:t>
      </w:r>
      <w:r>
        <w:rPr>
          <w:rtl w:val="0"/>
        </w:rPr>
        <w:t xml:space="preserve">, coincidiera efectivamente con lo entregado (VT del 6 de julio de 2026, fs. 44). </w:t>
      </w:r>
    </w:p>
    <w:p w14:paraId="0000015F">
      <w:pPr>
        <w:numPr>
          <w:ilvl w:val="0"/>
          <w:numId w:val="1"/>
        </w:numPr>
        <w:spacing w:after="0"/>
        <w:ind w:left="0" w:hanging="566"/>
      </w:pPr>
      <w:r>
        <w:rPr>
          <w:rtl w:val="0"/>
        </w:rPr>
        <w:t>Como surge de las versiones taquigráficas, quien acepta las garantías termina siendo CASTAINGDEBAT, según expresó el propio Director General de Secretaría de la época: “</w:t>
      </w:r>
      <w:r>
        <w:rPr>
          <w:i/>
          <w:iCs/>
          <w:rtl w:val="0"/>
        </w:rPr>
        <w:t>hay documentación posterior del Ministro CASTAINGDEBAT, que es quien dice que acepta las garantías</w:t>
      </w:r>
      <w:r>
        <w:rPr>
          <w:rtl w:val="0"/>
        </w:rPr>
        <w:t>” (VT del 6 de julio de 2026, fs. 45). Garantías que él nunca tuvo a la vista, que no cotejó, que nadie dentro del Ministerio de Defensa Nacional vio ni controló, cuyo contenido no fue traducido al español en el caso de los documentos de Eurocommerce. A pesar de ello, y a las múltiples advertencias del Estudio Delpiazzo sobre el vencimiento de los plazos y la desprolijidad con que se procedía, se aceptaron las garantías, se dieron por cumplidas las condiciones contractuales, se entendió que el contrato entró en vigor y se autorizó el primer pago por más de € 8.000.000.</w:t>
      </w:r>
    </w:p>
    <w:p w14:paraId="00000160">
      <w:pPr>
        <w:numPr>
          <w:ilvl w:val="0"/>
          <w:numId w:val="1"/>
        </w:numPr>
        <w:spacing w:after="0"/>
        <w:ind w:left="0" w:hanging="566"/>
      </w:pPr>
      <w:r>
        <w:rPr>
          <w:rtl w:val="0"/>
        </w:rPr>
        <w:t>Según surge de las versiones taquigráficas, el entonces Director General de Secretaría fue categórico al señalar: “</w:t>
      </w:r>
      <w:r>
        <w:rPr>
          <w:i/>
          <w:iCs/>
          <w:rtl w:val="0"/>
        </w:rPr>
        <w:t xml:space="preserve">hay documentación posterior del Ministro CASTAINGDEBAT, que es quien dice que acepta las garantías” </w:t>
      </w:r>
      <w:r>
        <w:rPr>
          <w:rtl w:val="0"/>
        </w:rPr>
        <w:t xml:space="preserve">(VT del 6 de julio de 2026, fs. 45). </w:t>
      </w:r>
    </w:p>
    <w:p w14:paraId="00000161">
      <w:pPr>
        <w:numPr>
          <w:ilvl w:val="0"/>
          <w:numId w:val="1"/>
        </w:numPr>
        <w:shd w:val="clear" w:fill="FFFFFF"/>
        <w:spacing w:after="0"/>
        <w:ind w:left="0" w:hanging="566"/>
      </w:pPr>
      <w:r>
        <w:rPr>
          <w:rtl w:val="0"/>
        </w:rPr>
        <w:t>Más aún, de la prueba reunida surge que no existe constancia de que los documentos hubieran sido efectivamente examinados y controlados dentro del propio Ministerio de Defensa Nacional antes de su aceptación. En el caso de la documentación correspondiente a Eurocommerce, además, se trataba de documentos redactados en idioma inglés que no habían sido traducidos al español, circunstancia que torna todavía más difícil sostener que existió un examen sustantivo de su contenido por parte de las autoridades que resolvieron aceptarlos.</w:t>
      </w:r>
    </w:p>
    <w:p w14:paraId="00000162">
      <w:pPr>
        <w:numPr>
          <w:ilvl w:val="0"/>
          <w:numId w:val="1"/>
        </w:numPr>
        <w:shd w:val="clear" w:fill="FFFFFF"/>
        <w:spacing w:after="0"/>
        <w:ind w:left="0" w:hanging="566"/>
      </w:pPr>
      <w:r>
        <w:rPr>
          <w:rtl w:val="0"/>
        </w:rPr>
        <w:t>Así, se configura una secuencia particularmente preocupante: Cardama entrega la documentación; el Dr. Martínez recibe un sobre y lo remite al Dr. Delpiazzo sin cotejar su contenido con lo declarado por la empresa; el asesoramiento jurídico formula observaciones y advertencias respecto de las garantías y de los plazos; y, pese a ello, el Ministro Castaingdebat termina aceptando las garantías y dando por cumplidas las condiciones contractuales para ordenar el pago.</w:t>
      </w:r>
    </w:p>
    <w:p w14:paraId="00000163">
      <w:pPr>
        <w:numPr>
          <w:ilvl w:val="0"/>
          <w:numId w:val="1"/>
        </w:numPr>
        <w:spacing w:after="0"/>
        <w:ind w:left="0" w:hanging="566"/>
      </w:pPr>
      <w:r>
        <w:rPr>
          <w:rtl w:val="0"/>
        </w:rPr>
        <w:t xml:space="preserve">En efecto, consultado el ex Ministro Castaingdebat ante la Comisión acerca de si, al momento de tener por cumplido el requisito de las garantías y autorizar el primero de los pagos, había tenido la documentación a la vista, se limitó a responder, en tres oportunidades: </w:t>
      </w:r>
      <w:r>
        <w:rPr>
          <w:i/>
          <w:iCs/>
          <w:rtl w:val="0"/>
        </w:rPr>
        <w:t>“Teníamos el aval de Delpiazzo para proceder al pago”</w:t>
      </w:r>
      <w:r>
        <w:rPr>
          <w:rtl w:val="0"/>
        </w:rPr>
        <w:t xml:space="preserve"> (VT de 27 de julio de 2026, fs. 29, 29 y 30). Esta respuesta resulta particularmente relevante, pues permite advertir que la autorización del desembolso no habría estado precedida de una verificación directa, por parte del MDN.</w:t>
      </w:r>
    </w:p>
    <w:p w14:paraId="00000164">
      <w:pPr>
        <w:numPr>
          <w:ilvl w:val="0"/>
          <w:numId w:val="1"/>
        </w:numPr>
        <w:spacing w:after="0"/>
        <w:ind w:left="0" w:hanging="566"/>
        <w:rPr>
          <w:i/>
          <w:iCs/>
        </w:rPr>
      </w:pPr>
      <w:r>
        <w:rPr>
          <w:rtl w:val="0"/>
        </w:rPr>
        <w:t>Esta Comisión ha podido esclarecer uno de los aspectos centrales vinculados al proceso de constitución y control de las garantías: la naturaleza y el alcance de la intervención del Estudio Delpiazzo. En efecto, surge de la comunicación remitida por dicho estudio el 15 de noviembre de 2024, a las 10:52 horas (correo electrónico de jose.delpiazzo@delpiazzo.com a dgrrff.director@mdn.gub.uy) que su intervención se limitaba expresamente a los aspectos formales de las garantías. En particular, el estudio señaló</w:t>
      </w:r>
      <w:r>
        <w:rPr>
          <w:i/>
          <w:iCs/>
          <w:rtl w:val="0"/>
        </w:rPr>
        <w:t>: “Como comentamos al analizar las otras propuestas de garantías, nuestro análisis se limita a los aspectos formales de dichos documentos, no pudiendo valorar la solvencia, reputación o autorización en el país de origen de las empresas emisoras de dichas garantías, siendo entidades extranjeras no controladas por el BCU”.</w:t>
      </w:r>
    </w:p>
    <w:p w14:paraId="00000165">
      <w:pPr>
        <w:numPr>
          <w:ilvl w:val="0"/>
          <w:numId w:val="1"/>
        </w:numPr>
        <w:spacing w:after="0"/>
        <w:ind w:left="0" w:hanging="566"/>
      </w:pPr>
      <w:r>
        <w:rPr>
          <w:rtl w:val="0"/>
        </w:rPr>
        <w:t>La precisión efectuada por el propio Estudio resulta particularmente relevante para determinar el alcance que podía atribuirse a su intervención. Delpiazzo no asumió la validación de la solvencia, reputación, capacidad o autorización de las entidades extranjeras emisoras de las garantías, sino que circunscribió expresamente su análisis a aspectos formales de la documentación.</w:t>
      </w:r>
    </w:p>
    <w:p w14:paraId="00000166">
      <w:pPr>
        <w:numPr>
          <w:ilvl w:val="0"/>
          <w:numId w:val="1"/>
        </w:numPr>
        <w:spacing w:after="0"/>
        <w:ind w:left="0" w:hanging="566"/>
      </w:pPr>
      <w:r>
        <w:rPr>
          <w:rtl w:val="0"/>
        </w:rPr>
        <w:t>Por consiguiente, cualquier referencia posterior a un supuesto “aval de Delpiazzo” para justificar la autorización del primer desembolso debe ser necesariamente contextualizada y analizada a la luz de esta limitación expresa. El estudio había dejado establecido que su intervención no comprendía una evaluación sustancial de las entidades garantes</w:t>
      </w:r>
    </w:p>
    <w:p w14:paraId="00000167">
      <w:pPr>
        <w:numPr>
          <w:ilvl w:val="0"/>
          <w:numId w:val="1"/>
        </w:numPr>
        <w:spacing w:after="0"/>
        <w:ind w:left="0" w:hanging="566"/>
      </w:pPr>
      <w:r>
        <w:rPr>
          <w:rtl w:val="0"/>
        </w:rPr>
        <w:t xml:space="preserve">La cuestión adquiere especial gravedad, cuando se analizan los audios aportados por el estudio Delpiazzo. De ellos surge que, al momento de haberse efectuado la orden de pago el día 09 de diciembre de 2024 —por un importe superior a € 8.000.000 para ambos buques—, los documentos originales de las garantías ni siquiera se encontraban en poder del MDN, sino que permanecían bajo custodia en el estudio Delpiazzo. </w:t>
      </w:r>
    </w:p>
    <w:p w14:paraId="00000168">
      <w:pPr>
        <w:numPr>
          <w:ilvl w:val="0"/>
          <w:numId w:val="1"/>
        </w:numPr>
        <w:spacing w:after="0"/>
        <w:ind w:left="0" w:hanging="566"/>
      </w:pPr>
      <w:r>
        <w:rPr>
          <w:rtl w:val="0"/>
        </w:rPr>
        <w:t>Con fecha 11 de diciembre de 2024 (12:51) - dos días después de efectuada la orden de pago- surge del audio enviado por el Dr. José Delpiazzo al Cr. Dimían Galo, la siguiente situación :</w:t>
      </w:r>
      <w:r>
        <w:rPr>
          <w:i/>
          <w:iCs/>
          <w:rtl w:val="0"/>
        </w:rPr>
        <w:t xml:space="preserve"> “¿Cómo andas, Damián? ¿Todo bien? Vi que ya se hizo el primer desembolso y arrancamos con la construcción. ¡Vamo’ arriba!. Che, te quería comentar porque tengo los documentos originales de las garantías. Eso me parece que lo debería guardar el Ministerio. Y justo me llamaron para irme a notificar de una cosa ahí en el Ministerio, y pensaba ir seguramente el viernes, tipo a eso de las dos y media, una cosa así. Porque, si llegas a estar vos, o lo dejo en un sobre a tu nombre, la documentación original. ¿Te parece? Bueno, un abrazo grande y espero que andes bien.”</w:t>
      </w:r>
    </w:p>
    <w:p w14:paraId="00000169">
      <w:pPr>
        <w:numPr>
          <w:ilvl w:val="0"/>
          <w:numId w:val="1"/>
        </w:numPr>
        <w:spacing w:after="0"/>
        <w:ind w:left="0" w:hanging="566"/>
      </w:pPr>
      <w:r>
        <w:rPr>
          <w:rtl w:val="0"/>
        </w:rPr>
        <w:t xml:space="preserve">A lo que Damián Galó responde, el mismo día a la hora 13:58:19: </w:t>
      </w:r>
      <w:r>
        <w:rPr>
          <w:i/>
          <w:iCs/>
          <w:rtl w:val="0"/>
        </w:rPr>
        <w:t>“¿Cómo andas, José? ¿Todo bien? A ver, yo tenía pensado que capaz que dejábamos en custodia ahí las garantías, que podía ser una opción. Pero, ta, en realidad, si tú nos las traés, no hay problema. Yo voy a estar acá el viernes, sí. Venite nomás. Decime a qué hora, así yo te espero acá. Y no sé si al final armar alguna nota o algo vinculado a las garantías, a lo que se presentó, como cierre final de esta parte, así ya dejamos todo pronto. Por suerte, ya hicimos el desembolso. Nosotros lo que hicimos fue plantear un poco la situación entre ambas partes, el gobierno electo y el gobierno actual, y, bueno, se fue comunicando alguna cosa. Nos pidieron alguna información o, por lo menos, también le llegó eso. Le fuimos dando al Ministro para que llevara y compartiera alguna documentación que nos pidieron: el contrato y algunos informes. Y, bueno, ta, ya se decidió avanzar y se hizo el pago inicial, por suerte. Ahora, a esperar que vengan esos barcos. Al final, a mí lo que me queda es eso: cerrar un poquito el tema del informe, si querés, lo de las garantías, cortito, lo que hemos visto. Como hacer uno más, como tenemos varios paquetes… Lo de Red Bridge y lo de esta… Capaz que en un documento solo, capaz. No sé qué te parece.”</w:t>
      </w:r>
    </w:p>
    <w:p w14:paraId="0000016A">
      <w:pPr>
        <w:numPr>
          <w:ilvl w:val="0"/>
          <w:numId w:val="1"/>
        </w:numPr>
        <w:spacing w:after="0"/>
        <w:ind w:left="0" w:hanging="566"/>
      </w:pPr>
      <w:r>
        <w:rPr>
          <w:rtl w:val="0"/>
        </w:rPr>
        <w:t xml:space="preserve">¿Cómo pudo autorizarse un desembolso superior a € 8.000.000 sin que el MDN tuviera en su poder los documentos originales de las garantías que, conforme al propio contrato, constituían una condición esencial para habilitar dicho pago? Y, más aún, ¿cómo pudo efectuarse ese desembolso si la única justificación invocada en Comisión por el entonces Ministro fue que “teníamos el aval de Delpiazzo para proceder al pago”, cuando de las propias comunicaciones surge que el estudio no sólo no había sido consultado previamente, sino que fue tomado por sorpresa por la realización del desembolso? </w:t>
      </w:r>
    </w:p>
    <w:p w14:paraId="0000016B">
      <w:pPr>
        <w:numPr>
          <w:ilvl w:val="0"/>
          <w:numId w:val="1"/>
        </w:numPr>
        <w:shd w:val="clear" w:fill="FFFFFF"/>
        <w:spacing w:before="0" w:after="60"/>
        <w:ind w:left="0" w:hanging="566"/>
      </w:pPr>
      <w:r>
        <w:rPr>
          <w:rtl w:val="0"/>
        </w:rPr>
        <w:t xml:space="preserve">De los audios surge un elemento particularmente relevante: las garantías no se encontraban aún en poder del MDN al menos hasta el 17 de diciembre de 2024, es decir, varios días después de haberse efectuado el primer desembolso. En efecto, en el Audio de fecha 17 de diciembre de 2024, a las 15:03 horas, se consulta expresamente a José qué debía hacerse con las garantías y si estas serían entregadas al Ministerio o quedarían bajo otra modalidad de custodia: </w:t>
      </w:r>
      <w:r>
        <w:rPr>
          <w:i/>
          <w:iCs/>
          <w:rtl w:val="0"/>
        </w:rPr>
        <w:t>“El tema de las garantías al final, ¿qué querías hacer? ¿Las dejabas ahí o me las traías? [...] si tú nos las traés no hay problema. Yo voy a estar acá el viernes, sí, venite nomás [...] o si las vamos a buscar, decime cómo querés operar.”</w:t>
      </w:r>
    </w:p>
    <w:p w14:paraId="0000016C">
      <w:pPr>
        <w:numPr>
          <w:ilvl w:val="0"/>
          <w:numId w:val="1"/>
        </w:numPr>
        <w:shd w:val="clear" w:fill="FFFFFF"/>
        <w:spacing w:before="0" w:after="60"/>
        <w:ind w:left="0" w:hanging="566"/>
      </w:pPr>
      <w:r>
        <w:rPr>
          <w:rtl w:val="0"/>
        </w:rPr>
        <w:t xml:space="preserve">La reconstrucción de los hechos permite advertir una circunstancia particularmente relevante respecto de la autorización del primer desembolso. En efecto, con fecha 9 de diciembre de 2024, el entonces Ministro de Defensa Nacional, Dr. Armando Castaingdebat, remitió al Director General de Secretaría, Dr. Fabián Martínez, una nota que luce incorporada al expediente 2023-3-1-0000602, folio 449, en la que se señala: </w:t>
      </w:r>
      <w:r>
        <w:rPr>
          <w:i/>
          <w:iCs/>
          <w:rtl w:val="0"/>
        </w:rPr>
        <w:t>“En el marco de las actividades relacionadas con la transición de gobierno, luego de entregada toda la documentación requerida relacionada al proceso de compra y el análisis de las garantías presentadas por la firma Francisco Cardama S.A., referente al contrato de construcción de las OPV87, de acuerdo a lo coordinado entre las autoridades del proceso de transición, se solicita proceder a realizar el pago de reembolso inicial de Euros 8.227.000 previsto en el artículo 11 literal A del contrato.”</w:t>
      </w:r>
    </w:p>
    <w:p w14:paraId="0000016D">
      <w:pPr>
        <w:numPr>
          <w:ilvl w:val="0"/>
          <w:numId w:val="1"/>
        </w:numPr>
        <w:shd w:val="clear" w:fill="FFFFFF"/>
        <w:spacing w:before="60" w:after="60"/>
        <w:ind w:left="0" w:hanging="566"/>
      </w:pPr>
      <w:r>
        <w:rPr>
          <w:rtl w:val="0"/>
        </w:rPr>
        <w:t>La nota resulta particularmente significativa, pues presenta el pago como una decisión adoptada en el marco de una supuesta coordinación entre las autoridades salientes y entrantes, y afirma que previamente se había entregado al gobierno electo la documentación vinculada al proceso de compra y al análisis de las garantías. Sin embargo, esta afirmación fue expresamente cuestionada por la actual Ministra de Defensa Nacional, Sandra Lazo, quien manifestó ante la Comisión que el pago no fue ordenado ni dispuesto en coordinación con las autoridades entrantes, señalando:</w:t>
      </w:r>
      <w:r>
        <w:rPr>
          <w:i/>
          <w:iCs/>
          <w:rtl w:val="0"/>
        </w:rPr>
        <w:t xml:space="preserve"> “Corresponde decir que, pese a lo expresado por el exministro de Defensa Nacional, en la comunicación antes citada, el pago realizado no fue de manera alguna ordenado en coordinación con las autoridades entrantes de esta Secretaría de Estado, de modo que no resulta correcta esa afirmación.” (VT 3 de agosto de 2026). </w:t>
      </w:r>
      <w:r>
        <w:rPr>
          <w:rtl w:val="0"/>
        </w:rPr>
        <w:t xml:space="preserve">Asimismo, la Ministra fue categórica al precisar el alcance que, durante el proceso de transición, se había dado a las decisiones de la Administración saliente: </w:t>
      </w:r>
      <w:r>
        <w:rPr>
          <w:i/>
          <w:iCs/>
          <w:rtl w:val="0"/>
        </w:rPr>
        <w:t>“En cada momento que nos encontramos con las autoridades salientes dijimos: hasta el 28 las decisiones son de la Administración saliente; a partir del 1.º de marzo [...] los responsables somos nosotros.”</w:t>
      </w:r>
      <w:r>
        <w:rPr>
          <w:rtl w:val="0"/>
        </w:rPr>
        <w:t xml:space="preserve"> </w:t>
      </w:r>
    </w:p>
    <w:p w14:paraId="0000016E">
      <w:pPr>
        <w:numPr>
          <w:ilvl w:val="0"/>
          <w:numId w:val="1"/>
        </w:numPr>
        <w:shd w:val="clear" w:fill="FFFFFF"/>
        <w:spacing w:after="0"/>
        <w:ind w:left="0" w:hanging="566"/>
      </w:pPr>
      <w:r>
        <w:rPr>
          <w:rtl w:val="0"/>
        </w:rPr>
        <w:t xml:space="preserve">En definitiva, se aceptaron las garantías, se tuvo por cumplido el contrato y se autorizó un desembolso millonario sin que surja de la prueba reunida que la autoridad que tomó la decisión hubiera tenido a la vista y controlado efectivamente los instrumentos que estaba aceptando. </w:t>
      </w:r>
    </w:p>
    <w:p w14:paraId="0000016F">
      <w:pPr>
        <w:numPr>
          <w:ilvl w:val="0"/>
          <w:numId w:val="1"/>
        </w:numPr>
        <w:shd w:val="clear" w:fill="FFFFFF"/>
        <w:spacing w:after="0"/>
        <w:ind w:left="0" w:hanging="566"/>
      </w:pPr>
      <w:r>
        <w:rPr>
          <w:rtl w:val="0"/>
        </w:rPr>
        <w:t>De este modo, se presentan tres elementos que deben ser considerados conjuntamente: (i) el 9 de diciembre se ordenó el desembolso invocando una supuesta coordinación con las autoridades entrantes; (ii) la actual Ministra de Defensa Nacional negó expresamente que dicha coordinación hubiera existido; y (iii) los audios posteriores evidencian que, aun después del desembolso, se continuaba coordinando la entrega y custodia de las garantías originales que se encontraban en el estudio Delpiazzo.</w:t>
      </w:r>
    </w:p>
    <w:p w14:paraId="00000170">
      <w:pPr>
        <w:pStyle w:val="3"/>
        <w:rPr>
          <w:u w:val="none"/>
        </w:rPr>
      </w:pPr>
      <w:bookmarkStart w:id="27" w:name="_heading=h.nvpxzfw6qbz7" w:colFirst="0" w:colLast="0"/>
      <w:bookmarkEnd w:id="27"/>
      <w:r>
        <w:rPr>
          <w:u w:val="none"/>
          <w:rtl w:val="0"/>
        </w:rPr>
        <w:t>O. SOBRE EL SEGUNDO PAGO: PLANO DE CUADERNA MAESTRA (EL “HITO B”)</w:t>
      </w:r>
    </w:p>
    <w:p w14:paraId="00000171">
      <w:pPr>
        <w:numPr>
          <w:ilvl w:val="0"/>
          <w:numId w:val="1"/>
        </w:numPr>
        <w:ind w:left="0" w:hanging="566"/>
      </w:pPr>
      <w:r>
        <w:rPr>
          <w:rtl w:val="0"/>
        </w:rPr>
        <w:t>En diciembre de 2024, el Cr. GALÓ sugiere la remisión del Expediente N° 2023-3-1-0000602 al Comando General de la Armada “</w:t>
      </w:r>
      <w:r>
        <w:rPr>
          <w:i/>
          <w:iCs/>
          <w:rtl w:val="0"/>
        </w:rPr>
        <w:t>para gestionar los futuros pagos de este proceso y el seguimiento técnico del proceso de construcción</w:t>
      </w:r>
      <w:r>
        <w:rPr>
          <w:rtl w:val="0"/>
        </w:rPr>
        <w:t xml:space="preserve">” (fs. 453), siendo enviado el expediente en forma definitiva el día 27 de febrero de 2025 a las 08:45:40 (fs. 470, firmada por el Cr. GALÓ). </w:t>
      </w:r>
    </w:p>
    <w:p w14:paraId="00000172">
      <w:pPr>
        <w:numPr>
          <w:ilvl w:val="0"/>
          <w:numId w:val="1"/>
        </w:numPr>
        <w:spacing w:after="0"/>
        <w:ind w:left="0" w:hanging="566"/>
      </w:pPr>
      <w:r>
        <w:rPr>
          <w:rtl w:val="0"/>
        </w:rPr>
        <w:t xml:space="preserve">El segundo pago requería, según la cláusula 11 del contrato, que la empresa Cardama presentara factura comercial, Plano de Cuaderna Maestra aprobada por la Sociedad de Clasificación (Lloyd’s Register) y orden del Comprador (el MDN) de aprobación del hito (la que debía ser realizada tras recibir de Cardama los documentos de aceptación de pedido emitida por Caterpillar, Terma y Escribano relacionados a suministros).   </w:t>
      </w:r>
    </w:p>
    <w:p w14:paraId="00000173">
      <w:pPr>
        <w:numPr>
          <w:ilvl w:val="0"/>
          <w:numId w:val="1"/>
        </w:numPr>
        <w:spacing w:after="0"/>
        <w:ind w:left="0" w:hanging="566"/>
      </w:pPr>
      <w:r>
        <w:rPr>
          <w:rtl w:val="0"/>
        </w:rPr>
        <w:t xml:space="preserve">El mecanismo mediante el cual se instrumentaron los pagos adquirió una relevancia particular a partir de febrero de 2025. El 12 de febrero de 2025 se presentó ante el Banco de la República Oriental del Uruguay la solicitud de apertura de una carta de crédito irrevocable y confirmada, figurando como ordenante el Comando General de la Armada, como beneficiario Francisco Cardama S.A. y previendo la intervención del Deutsche Bank como banco corresponsal. La apertura efectiva de la carta de crédito se produjo el 14 de febrero de 2025, quedando establecidos los diferentes hitos y la documentación exigida para habilitar los respectivos desembolsos. (VT del 3 de agosto de 2026, págs. 26). </w:t>
      </w:r>
    </w:p>
    <w:p w14:paraId="00000174">
      <w:pPr>
        <w:numPr>
          <w:ilvl w:val="0"/>
          <w:numId w:val="1"/>
        </w:numPr>
        <w:spacing w:after="0"/>
        <w:ind w:left="0" w:hanging="566"/>
      </w:pPr>
      <w:r>
        <w:rPr>
          <w:rtl w:val="0"/>
        </w:rPr>
        <w:t>La apertura de la carta de crédito no constituyó un aspecto meramente instrumental de la contratación. Su funcionamiento determinaba las condiciones bajo las cuales el sistema bancario quedaría habilitado para efectuar los sucesivos pagos. Según explicó la Ministra Sandra LAZO ante esta Comisión, para los hitos posteriores el mecanismo descansaba fundamentalmente en la presentación por el beneficiario de la documentación prevista en la propia carta de crédito, reduciéndose sustancialmente la posibilidad de la Administración de detener el desembolso una vez satisfechas documentalmente esas condiciones (VT del 3 de agosto de 2026, págs. 25 y 26).</w:t>
      </w:r>
    </w:p>
    <w:p w14:paraId="00000175">
      <w:pPr>
        <w:numPr>
          <w:ilvl w:val="0"/>
          <w:numId w:val="1"/>
        </w:numPr>
        <w:spacing w:after="0"/>
        <w:ind w:left="0" w:hanging="566"/>
      </w:pPr>
      <w:r>
        <w:rPr>
          <w:rtl w:val="0"/>
        </w:rPr>
        <w:t>El Hito B constituía una excepción particularmente relevante a ese mecanismo. Para este segundo desembolso no bastaba con la sola presentación de documentos por Francisco Cardama S.A.: la carta de crédito exigía además una carta de aprobación del ordenante, esto es, del Comando General de la Armada. La Administración conservaba, por tanto, respecto de este hito, una instancia específica y directa de control antes de habilitar el pago.</w:t>
      </w:r>
    </w:p>
    <w:p w14:paraId="00000176">
      <w:pPr>
        <w:numPr>
          <w:ilvl w:val="0"/>
          <w:numId w:val="1"/>
        </w:numPr>
        <w:spacing w:after="0"/>
        <w:ind w:left="0" w:hanging="566"/>
      </w:pPr>
      <w:r>
        <w:rPr>
          <w:rtl w:val="0"/>
        </w:rPr>
        <w:t>Esta particularidad resulta decisiva para valorar los hechos ocurridos durante los últimos días de febrero de 2025. La aprobación que debía emitir el Comando General de la Armada no constituía una comunicación de mero trámite. Era precisamente uno de los documentos requeridos por el mecanismo financiero para acreditar el cumplimiento del Hito B y permitir a Cardama presentarse ante el banco para gestionar su cobro. De ahí que resulte indispensable determinar qué documentación tenía efectivamente a la vista la autoridad que certificó el cumplimiento del hito, qué controles técnicos se habían realizado sobre ella y si, al momento de emitirse la aprobación, se encontraban efectivamente satisfechas las condiciones previstas contractualmente.</w:t>
      </w:r>
    </w:p>
    <w:p w14:paraId="00000177">
      <w:pPr>
        <w:numPr>
          <w:ilvl w:val="0"/>
          <w:numId w:val="1"/>
        </w:numPr>
        <w:spacing w:after="0"/>
        <w:ind w:left="0" w:hanging="566"/>
      </w:pPr>
      <w:r>
        <w:rPr>
          <w:rtl w:val="0"/>
        </w:rPr>
        <w:t>Es en ese contexto que deben analizarse los acontecimientos del 27 y 28 de febrero de 2025. El día 27 de febrero de 2025 a las 11:13 horas (15:13 hora de España), el Sr. Mario Cardama remitió un correo electrónico dirigido al Contraalmirante José RUIZ, jefe de proyecto OPV, expresando: “</w:t>
      </w:r>
      <w:r>
        <w:rPr>
          <w:i/>
          <w:iCs/>
          <w:rtl w:val="0"/>
        </w:rPr>
        <w:t>Por la presente adjunto los siguientes documentos: 1) Plano de “Cuaderna Maestra” aprobada por el Lloyd’s y 2) Certificado de Lloyd’s de aprobación del plano de “Cuaderna Maestra”. Con esto y los documentos ya entregados anteriormente se cumple con la documentación necesaria, según el contrato, para que Ustedes nos entreguen el documento de “Aceptación del Hito” para presentar ante el Banco y poder realizar el cobro del hito de “Cuaderna Maestra” y continuar con la construcción de las OPVs. Rogamos nos envíen dicho documento por email a la mayor brevedad posible. Al mismo tiempo ruego le entreguen el original a Don Gerardo Moreira</w:t>
      </w:r>
      <w:r>
        <w:rPr>
          <w:rtl w:val="0"/>
        </w:rPr>
        <w:t xml:space="preserve">” (correo recibido en la casilla proyectoopv_ruiz@armada.mil.uy). </w:t>
      </w:r>
    </w:p>
    <w:p w14:paraId="00000178">
      <w:pPr>
        <w:numPr>
          <w:ilvl w:val="0"/>
          <w:numId w:val="1"/>
        </w:numPr>
        <w:spacing w:after="0"/>
        <w:ind w:left="0" w:hanging="566"/>
      </w:pPr>
      <w:r>
        <w:rPr>
          <w:rtl w:val="0"/>
        </w:rPr>
        <w:t>Ese mismo día, a las 11:49 horas, Cardama reenvía el correo que le había remitido a RUIZ al Jefe de Despacho del Almirante WILSON, el Capitán de Navío Marcelo DA SILVA, en el que consignaba: “</w:t>
      </w:r>
      <w:r>
        <w:rPr>
          <w:i/>
          <w:iCs/>
          <w:rtl w:val="0"/>
        </w:rPr>
        <w:t>Estimado Da Silva. Adjunto correo con documentos. Ruegos nos envíes el Documento de Aceptación por email y le entregues el original a Gerardo para que nos lo envíe por DHL. Buen trabajo. Saludos cordiales</w:t>
      </w:r>
      <w:r>
        <w:rPr>
          <w:rtl w:val="0"/>
        </w:rPr>
        <w:t xml:space="preserve">” (correo recibido en la casilla comar_gabinete_jefe@armada.mil.uy).  </w:t>
      </w:r>
    </w:p>
    <w:p w14:paraId="00000179">
      <w:pPr>
        <w:numPr>
          <w:ilvl w:val="0"/>
          <w:numId w:val="1"/>
        </w:numPr>
        <w:spacing w:after="0"/>
        <w:ind w:left="0" w:hanging="566"/>
      </w:pPr>
      <w:r>
        <w:rPr>
          <w:rtl w:val="0"/>
        </w:rPr>
        <w:t>Horas más tarde de recibida esa comunicación con los documentos referidos, DA SILVA envía un correo a CARDAMA consignando: “</w:t>
      </w:r>
      <w:r>
        <w:rPr>
          <w:i/>
          <w:iCs/>
          <w:rtl w:val="0"/>
        </w:rPr>
        <w:t>Señor Mario Cardama, adjunto envío Nota N°95 del Señor Comandante en Jefe aprobando la documentación correspondiente al Hito B</w:t>
      </w:r>
      <w:r>
        <w:rPr>
          <w:rtl w:val="0"/>
        </w:rPr>
        <w:t>”. La mencionada Nota N° 95, fechada el 27 de febrero de 2025, firmada por el Almirante Jorge WILSON, establecía: “</w:t>
      </w:r>
      <w:r>
        <w:rPr>
          <w:i/>
          <w:iCs/>
          <w:rtl w:val="0"/>
        </w:rPr>
        <w:t>Tengo el agrado de dirigirme a Usted, como Ordenador del Gasto de Crédito Documentario  N° 155000205216, a los efectos de certificar y avalar la documentación presentada en el marco del cumplimiento del Hito B del Contrato contractual para la construcción y venta de los buques de Patrulla Oceánica OPV</w:t>
      </w:r>
      <w:r>
        <w:rPr>
          <w:rtl w:val="0"/>
        </w:rPr>
        <w:t xml:space="preserve">”. </w:t>
      </w:r>
    </w:p>
    <w:p w14:paraId="0000017A">
      <w:pPr>
        <w:numPr>
          <w:ilvl w:val="0"/>
          <w:numId w:val="1"/>
        </w:numPr>
        <w:spacing w:after="0"/>
        <w:ind w:left="0" w:hanging="566"/>
      </w:pPr>
      <w:r>
        <w:rPr>
          <w:rtl w:val="0"/>
        </w:rPr>
        <w:t>El 28 de febrero Cardama le responde a DA SILVA en los siguientes términos: “</w:t>
      </w:r>
      <w:r>
        <w:rPr>
          <w:i/>
          <w:iCs/>
          <w:rtl w:val="0"/>
        </w:rPr>
        <w:t>Estimado Capitán Da Silva. Como sabes cuando tuvimos la videoconferencia sobre los documentos del hito de la cuaderna maestra Ruiz quedó en preparar el "borrador de Aceptación" y yo insistí que nos lo enviara para dárselo al banco y que lo pusiera en la Carta de Crédito, pero no se hizo. Al enviarle al DB el documento que me enviaste nos indica que no corresponde con la carta de crédito nos dicen que el documento deberá decir lo siguiente: Tengo el agrado de dirigirme a Usted, como Ordenador del Gasto del Crédito Documentario N° 155000205216, a los efectos de certificar y avalar la documentación presentada en el marco del cumplimiento del Hito B, referente a los Planos de Cuadernas maestras aprobados completos referentes a los Buques (C 250 Y C 251), según Contrato contractual para la adquisición de dos buques OPV, celebrado el 15-12-2023, Buque 1 (C 250), y Buque 2 (C 251). Por favor, consigue que se modifique el documento y nos lo volvéis a enviar. Saludos cordiales</w:t>
      </w:r>
      <w:r>
        <w:rPr>
          <w:rtl w:val="0"/>
        </w:rPr>
        <w:t xml:space="preserve">”. </w:t>
      </w:r>
    </w:p>
    <w:p w14:paraId="0000017B">
      <w:pPr>
        <w:numPr>
          <w:ilvl w:val="0"/>
          <w:numId w:val="1"/>
        </w:numPr>
        <w:spacing w:after="0"/>
        <w:ind w:left="0" w:hanging="566"/>
      </w:pPr>
      <w:r>
        <w:rPr>
          <w:rtl w:val="0"/>
        </w:rPr>
        <w:t>Ese mismo día, horas después, DA SILVA consigue que se modifique el documento y contesta: “</w:t>
      </w:r>
      <w:r>
        <w:rPr>
          <w:i/>
          <w:iCs/>
          <w:rtl w:val="0"/>
        </w:rPr>
        <w:t>Señor Mario Cardama, adjunto envío a usted, según lo previamente tratado Nota N°95/25 del Señor Comandante en Jefe de la Armada, donde avala la documentación presentada a los efectos de presentar en el Banco correspondiente, con los cambios sugeridos</w:t>
      </w:r>
      <w:r>
        <w:rPr>
          <w:rtl w:val="0"/>
        </w:rPr>
        <w:t>”. La Nota N° 95/2025 enviada el 28 de febrero cambió su texto respecto a la anterior: “</w:t>
      </w:r>
      <w:r>
        <w:rPr>
          <w:i/>
          <w:iCs/>
          <w:rtl w:val="0"/>
        </w:rPr>
        <w:t>Tengo el agrado de dirigirme a Usted, como Ordenador del Gasto del Credito Documentario N.° 155000205216, a los efectos de certificar y avalar la documentación presentada en el marco del cumplimiento del Hito B, referente a los Planos de Cuadernas maestras aprobados completos referentes a los Buques (C 250 y C 251), según Contrato contractual para la adquisición de dos buques OPV, celebrado el 15-12-2023. Buque 1 (C 250), у Buque 2 (C 251)</w:t>
      </w:r>
      <w:r>
        <w:rPr>
          <w:rtl w:val="0"/>
        </w:rPr>
        <w:t xml:space="preserve">”. </w:t>
      </w:r>
    </w:p>
    <w:p w14:paraId="0000017C">
      <w:pPr>
        <w:numPr>
          <w:ilvl w:val="0"/>
          <w:numId w:val="1"/>
        </w:numPr>
        <w:spacing w:after="0"/>
        <w:ind w:left="0" w:hanging="566"/>
      </w:pPr>
      <w:r>
        <w:rPr>
          <w:rtl w:val="0"/>
        </w:rPr>
        <w:t>Consultado el Contralmirante RUIZ sobre estos hechos declaró: “</w:t>
      </w:r>
      <w:r>
        <w:rPr>
          <w:i/>
          <w:iCs/>
          <w:rtl w:val="0"/>
        </w:rPr>
        <w:t>Yo lo recibí en mi mail el 27 de febrero. El correo lo vi en la tarde… (…) Ahí tuve las comunicaciones y se me dijo que se había mandado la carta. Y al otro día, esa nota que usted tiene</w:t>
      </w:r>
      <w:r>
        <w:rPr>
          <w:rtl w:val="0"/>
        </w:rPr>
        <w:t xml:space="preserve"> (en referencia a la enviada por DA SILVA el 28 de febrero)” (VT del 8 de junio de 2026, fs. 45).  Consultado sobre si el Almirante WILSON había firmado la Nota 95 y DA SILVA se la había enviado a CARDAMA antes de tener algún intercambio con RUIZ sobre el cumplimiento o no de las exigencias técnicas del hito, en tanto Jefe del Proyecto, respondió: “</w:t>
      </w:r>
      <w:r>
        <w:rPr>
          <w:i/>
          <w:iCs/>
          <w:rtl w:val="0"/>
        </w:rPr>
        <w:t>Yo la comunicación de Cardama no la veo hasta la tarde. Ahí pregunto cómo se va a proceder acá y se me dice que la nota fue enviada. Pregunto qué es lo que vamos a hacer, digo “Mañana lo charlamos”, pero se me contesta que la nota ya había sido enviada</w:t>
      </w:r>
      <w:r>
        <w:rPr>
          <w:rtl w:val="0"/>
        </w:rPr>
        <w:t>”, y agrega “</w:t>
      </w:r>
      <w:r>
        <w:rPr>
          <w:i/>
          <w:iCs/>
          <w:rtl w:val="0"/>
        </w:rPr>
        <w:t>Respecto al plano de cuaderna maestra, yo lo veo y me enterito de ya había sido enviada la contestación del hito</w:t>
      </w:r>
      <w:r>
        <w:rPr>
          <w:rtl w:val="0"/>
        </w:rPr>
        <w:t>” (ídem, fs. 50). Esto entra en flagrante contradicción con lo declarado por el ex Almirante WILSON en la Comisión consultado sobre estos hechos: “</w:t>
      </w:r>
      <w:r>
        <w:rPr>
          <w:i/>
          <w:iCs/>
          <w:rtl w:val="0"/>
        </w:rPr>
        <w:t>En mi despacho yo recibí al director general de Material Naval con el plano de la cuaderna maestra diciendo que ya estaba cumplido. (…) …el contraalmirante José RUIZ</w:t>
      </w:r>
      <w:r>
        <w:rPr>
          <w:rtl w:val="0"/>
        </w:rPr>
        <w:t xml:space="preserve">” (VT del 27 de abril, fs. 51 y 52 y 60). </w:t>
      </w:r>
    </w:p>
    <w:p w14:paraId="0000017D">
      <w:pPr>
        <w:numPr>
          <w:ilvl w:val="0"/>
          <w:numId w:val="1"/>
        </w:numPr>
        <w:spacing w:after="0"/>
        <w:ind w:left="0" w:hanging="566"/>
      </w:pPr>
      <w:r>
        <w:rPr>
          <w:rtl w:val="0"/>
        </w:rPr>
        <w:t>Es recién el 14 de abril de 2025 que el Encargado de Despacho Contraalmirante ELIZONDO remite a la Ministra Sandra LAZO “</w:t>
      </w:r>
      <w:r>
        <w:rPr>
          <w:i/>
          <w:iCs/>
          <w:rtl w:val="0"/>
        </w:rPr>
        <w:t>copia de certificación apostillada de la Cuaderna Maestra, por parte de Lloyd´s Register correspondiente a la OPVs 87, el cual fuera entregado al Jefe de Proyecto, Contraalmirante José Ruiz, el día jueves 10 de abril del corriente, en horario de la mañana, por el Señor Director del Astillero Mario Cardama y su Representante Gerardo Moreira, en la Dirección General de Material Naval</w:t>
      </w:r>
      <w:r>
        <w:rPr>
          <w:rtl w:val="0"/>
        </w:rPr>
        <w:t xml:space="preserve">” (Expediente N° 2025-3-18-0000293, fs. 1). </w:t>
      </w:r>
    </w:p>
    <w:p w14:paraId="0000017E">
      <w:pPr>
        <w:numPr>
          <w:ilvl w:val="0"/>
          <w:numId w:val="1"/>
        </w:numPr>
        <w:spacing w:after="0"/>
        <w:ind w:left="0" w:hanging="566"/>
      </w:pPr>
      <w:r>
        <w:rPr>
          <w:rtl w:val="0"/>
        </w:rPr>
        <w:t xml:space="preserve">Surge entonces acreditado que la documentación no había sido controlada por el Jefe del Proyecto y aun así la Armada resolvió aceptarla y enviar el Documento de Aceptación para activar el segundo pago por más de € 8.000.0000. La documentación no estaba traducida del inglés, no estaba apostillada y aun así se aprobó, urgida por Cardama, el mismo día que fue recibida, dos días antes del cambio del gobierno. </w:t>
      </w:r>
    </w:p>
    <w:p w14:paraId="0000017F">
      <w:pPr>
        <w:numPr>
          <w:ilvl w:val="0"/>
          <w:numId w:val="1"/>
        </w:numPr>
        <w:spacing w:after="0"/>
        <w:ind w:left="0" w:hanging="566"/>
      </w:pPr>
      <w:r>
        <w:rPr>
          <w:rtl w:val="0"/>
        </w:rPr>
        <w:t xml:space="preserve">Ruiz exhibió ante la Comisión una copia de un documento de Lloyd's fechado el 27 de febrero. La Comisión advirtió que ese documento no coincidía con el que aparecía adjunto a la documentación bancaria vinculada a la nota de Wilson, donde figuraba aprobada el 5 de marzo. Esto revela que hubo, al menos, más de una pieza documental vinculada a la aprobación de la cuaderna maestra. La ministra Lazo habló incluso de tres documentos: el propio plano con una indicación de aprobación preliminar, un </w:t>
      </w:r>
      <w:r>
        <w:rPr>
          <w:i/>
          <w:iCs/>
          <w:rtl w:val="0"/>
        </w:rPr>
        <w:t>statement</w:t>
      </w:r>
      <w:r>
        <w:rPr>
          <w:rtl w:val="0"/>
        </w:rPr>
        <w:t xml:space="preserve"> del 27 de febrero y otro del 5 de marzo con carácter completo o definitivo. El contrato exigía un plano aprobado por la sociedad clasificadora. Por tanto, no basta con demostrar que existía algún documento de Lloyd's; hay que determinar qué grado de aprobación otorgaba cada uno y cuál fue tenido en cuenta al certificar el hito. Si el documento definitivo que ingresó al circuito bancario es del 5 de marzo, la aprobación emitida por Wilson el 26 o 27 no podía fundarse en ese documento concreto. La hipótesis de un documento previo suficiente debe probarse, no presumirse. Los documentos de trabajo de la Comisión identificaron un sello 'PRELIMINARY APPROVED' en el material recibido. Esa expresión genera una cuestión técnica importante porque el contrato no habla de un plano preliminar, sino de un plano aprobado por la sociedad de clasificación.</w:t>
      </w:r>
    </w:p>
    <w:p w14:paraId="00000180">
      <w:pPr>
        <w:numPr>
          <w:ilvl w:val="0"/>
          <w:numId w:val="1"/>
        </w:numPr>
        <w:spacing w:after="0"/>
        <w:ind w:left="0" w:hanging="566"/>
      </w:pPr>
      <w:r>
        <w:rPr>
          <w:rtl w:val="0"/>
        </w:rPr>
        <w:t xml:space="preserve">La Armada certificó el hito sobre la base de una aprobación preliminar sin documentar que era equivalente al requisito contractual, lo cual no surge que fuera analizada por especialistas o consultado formalmente a Lloyd's. </w:t>
      </w:r>
    </w:p>
    <w:p w14:paraId="00000181">
      <w:pPr>
        <w:numPr>
          <w:ilvl w:val="0"/>
          <w:numId w:val="1"/>
        </w:numPr>
        <w:spacing w:after="0"/>
        <w:ind w:left="0" w:hanging="566"/>
      </w:pPr>
      <w:r>
        <w:rPr>
          <w:rtl w:val="0"/>
        </w:rPr>
        <w:t>El rol de Wilson como ordenador del gasto es central. Su firma no era meramente protocolar. Era el acto mediante el cual el comprador certificaba que el hito se encontraba cumplido y habilitaba el circuito bancario. Un ordenador del gasto puede apoyarse en informes técnicos, pero conserva la responsabilidad de no disponer fondos sin soporte suficiente. Si el documento técnico requerido no estaba todavía en poder de la Armada en la forma exigida, debía abstenerse de certificar hasta contar con él. Las declaraciones de Ruiz vuelven especialmente problemática la nota del 26: el propio responsable técnico sitúa la recepción de la documentación el 27. Aun si se aceptara que existió una versión previa informal o digital, la decisión debía fundarse en un documento identificable y trazable.</w:t>
      </w:r>
    </w:p>
    <w:p w14:paraId="00000182">
      <w:pPr>
        <w:numPr>
          <w:ilvl w:val="0"/>
          <w:numId w:val="1"/>
        </w:numPr>
        <w:spacing w:after="0"/>
        <w:ind w:left="0" w:hanging="566"/>
      </w:pPr>
      <w:r>
        <w:rPr>
          <w:rtl w:val="0"/>
        </w:rPr>
        <w:t>La orden de pago fue anterior al cambio de gobierno La aprobación del Hito B se produjo en las últimas horas de la administración saliente. El 1º de marzo de 2025 asumió un nuevo gobierno, y las notas de Wilson son del 26 y 27 de febrero.</w:t>
      </w:r>
    </w:p>
    <w:p w14:paraId="00000183">
      <w:pPr>
        <w:numPr>
          <w:ilvl w:val="0"/>
          <w:numId w:val="1"/>
        </w:numPr>
        <w:spacing w:after="0"/>
        <w:ind w:left="0" w:hanging="566"/>
      </w:pPr>
      <w:r>
        <w:rPr>
          <w:rtl w:val="0"/>
        </w:rPr>
        <w:t>Las autoridades salientes mantenían competencia plena hasta el último día. El problema no es que no pudieran decidir. El problema es que una decisión de fuerte impacto patrimonial fue adoptada cuando faltaban apenas horas para el relevo y existían carencias documentales sobre el cumplimiento del hito.</w:t>
      </w:r>
    </w:p>
    <w:p w14:paraId="00000184">
      <w:pPr>
        <w:numPr>
          <w:ilvl w:val="0"/>
          <w:numId w:val="1"/>
        </w:numPr>
        <w:spacing w:after="0"/>
        <w:ind w:left="0" w:hanging="566"/>
      </w:pPr>
      <w:r>
        <w:rPr>
          <w:rtl w:val="0"/>
        </w:rPr>
        <w:t>En un contexto de transición, el deber de prudencia es mayor. Una decisión que podía esperar a la confirmación definitiva de la documentación hubiera permitido que la nueva administración recibiera el expediente completo antes de que se activara el pago. Si, en cambio, se certificó antes de tener completamente consolidado el soporte documental, el cambio de gobierno deja de ser un dato incidental y pasa a integrar el contexto de una decisión acelerada que proyectó efectos sobre las autoridades entrantes.</w:t>
      </w:r>
    </w:p>
    <w:p w14:paraId="00000185">
      <w:pPr>
        <w:pStyle w:val="3"/>
      </w:pPr>
      <w:r>
        <w:rPr>
          <w:u w:val="none"/>
          <w:rtl w:val="0"/>
        </w:rPr>
        <w:t>P.</w:t>
      </w:r>
      <w:r>
        <w:rPr>
          <w:rtl w:val="0"/>
        </w:rPr>
        <w:t xml:space="preserve"> SOBRE LA RESCISIÓN DEL CONTRATO</w:t>
      </w:r>
    </w:p>
    <w:p w14:paraId="00000186">
      <w:pPr>
        <w:numPr>
          <w:ilvl w:val="0"/>
          <w:numId w:val="1"/>
        </w:numPr>
        <w:ind w:left="0" w:hanging="566"/>
      </w:pPr>
      <w:r>
        <w:rPr>
          <w:rtl w:val="0"/>
        </w:rPr>
        <w:t xml:space="preserve">Asumida la nueva administración el 1º de marzo de 2025, comenzó a hacerse evidente otra dimensión del problema: las decisiones adoptadas durante el período anterior no habían sido acompañadas de una adecuada transferencia de información y documentación a las nuevas autoridades. Como ya se desarrolló, se constató que los antecedentes administrativos se encontraban incompletos y que no existía registro administrativo alguno del proceso mediante el cual se habían aceptado las garantías (véase capítulo VI). A ello se agrega que la administración saliente había delegado en el Comando General de la Armada el control técnico y la ordenación del gasto de los pagos (VT del 3 de agosto de 2026, págs. 13, 15 y 19). </w:t>
      </w:r>
    </w:p>
    <w:p w14:paraId="00000187">
      <w:pPr>
        <w:numPr>
          <w:ilvl w:val="0"/>
          <w:numId w:val="1"/>
        </w:numPr>
        <w:spacing w:after="0"/>
        <w:ind w:left="0" w:hanging="566"/>
      </w:pPr>
      <w:r>
        <w:rPr>
          <w:rtl w:val="0"/>
        </w:rPr>
        <w:t>La Ministra LAZO declaró ante esta Comisión que "</w:t>
      </w:r>
      <w:r>
        <w:rPr>
          <w:i/>
          <w:iCs/>
          <w:rtl w:val="0"/>
        </w:rPr>
        <w:t>el tema no fue suficientemente informado en el marco de la transición, pese a que en dicho período se tomaron importantes decisiones por las autoridades salientes […] La información durante el período de transición […] fue muy general y no se recibieron informes jurídicos, económico financieros y técnicos sobre el contrato de parte de las autoridades salientes</w:t>
      </w:r>
      <w:r>
        <w:rPr>
          <w:rtl w:val="0"/>
        </w:rPr>
        <w:t>" (VT del 3 de agosto de 2026, pág. 12).</w:t>
      </w:r>
    </w:p>
    <w:p w14:paraId="00000188">
      <w:pPr>
        <w:numPr>
          <w:ilvl w:val="0"/>
          <w:numId w:val="1"/>
        </w:numPr>
        <w:spacing w:after="0"/>
        <w:ind w:left="0" w:hanging="566"/>
      </w:pPr>
      <w:r>
        <w:rPr>
          <w:rtl w:val="0"/>
        </w:rPr>
        <w:t>Durante el año 2025 la nueva administración dispuso sucesivas medidas de control que la anterior nunca había implementado: en mayo, una inspección técnica en el astillero de Vigo, cuyo informe del 12 de junio de 2025 señaló "</w:t>
      </w:r>
      <w:r>
        <w:rPr>
          <w:i/>
          <w:iCs/>
          <w:rtl w:val="0"/>
        </w:rPr>
        <w:t>aspectos técnicos relevantes y observaciones críticas acerca del estado o avance y respecto al proceso constructivo del astillero</w:t>
      </w:r>
      <w:r>
        <w:rPr>
          <w:rtl w:val="0"/>
        </w:rPr>
        <w:t>", así como "</w:t>
      </w:r>
      <w:r>
        <w:rPr>
          <w:i/>
          <w:iCs/>
          <w:rtl w:val="0"/>
        </w:rPr>
        <w:t>carencias en la información que suministraba el astillero</w:t>
      </w:r>
      <w:r>
        <w:rPr>
          <w:rtl w:val="0"/>
        </w:rPr>
        <w:t>" (VT del 3 de agosto de 2026, pág. 20); desde setiembre de 2025, el envío de dos representantes técnicos permanentes ante el astillero, quienes "</w:t>
      </w:r>
      <w:r>
        <w:rPr>
          <w:i/>
          <w:iCs/>
          <w:rtl w:val="0"/>
        </w:rPr>
        <w:t>profundizaron nuestras preocupaciones al confirmar los problemas ya detectados</w:t>
      </w:r>
      <w:r>
        <w:rPr>
          <w:rtl w:val="0"/>
        </w:rPr>
        <w:t>" (VT del 3 de agosto de 2026, pág. 21); y la contratación de la sociedad clasificadora Bureau Veritas, la que "</w:t>
      </w:r>
      <w:r>
        <w:rPr>
          <w:i/>
          <w:iCs/>
          <w:rtl w:val="0"/>
        </w:rPr>
        <w:t>luego de realizar un relevamiento del estado del avance de la construcción del primer buque, formuló serias observaciones y determinó, entre otros aspectos, que no era posible que en el plazo previsto en el contrato el astillero pudiera culminar satisfactoriamente con la entrega de la OPV</w:t>
      </w:r>
      <w:r>
        <w:rPr>
          <w:rtl w:val="0"/>
        </w:rPr>
        <w:t>" (VT del 3 de agosto de 2026, pág. 52). Durante todo ese período "</w:t>
      </w:r>
      <w:r>
        <w:rPr>
          <w:i/>
          <w:iCs/>
          <w:rtl w:val="0"/>
        </w:rPr>
        <w:t>el constructor mantuvo una actitud reticente en cuanto a entregar toda la información y documentación técnica que le era requerida</w:t>
      </w:r>
      <w:r>
        <w:rPr>
          <w:rtl w:val="0"/>
        </w:rPr>
        <w:t>" (VT del 3 de agosto de 2026, pág. 21). Por Resolución del MDN N° 84.799 del 4 de junio de 2025 se dispuso además una investigación administrativa sobre todo el proceso de contratación y ejecución del contrato, cuya instrucción se encomendó a la Oficina Nacional del Servicio Civil (VT del 3 de agosto de 2026, pág. 95).</w:t>
      </w:r>
    </w:p>
    <w:p w14:paraId="00000189">
      <w:pPr>
        <w:numPr>
          <w:ilvl w:val="0"/>
          <w:numId w:val="1"/>
        </w:numPr>
        <w:spacing w:after="0"/>
        <w:ind w:left="0" w:hanging="566"/>
      </w:pPr>
      <w:r>
        <w:rPr>
          <w:rtl w:val="0"/>
        </w:rPr>
        <w:t>La incapacidad financiera del astillero quedó nuevamente de manifiesto con el hito de los motores (Hito D): "</w:t>
      </w:r>
      <w:r>
        <w:rPr>
          <w:i/>
          <w:iCs/>
          <w:rtl w:val="0"/>
        </w:rPr>
        <w:t>los motores no fueron entregados por el proveedor ya que Cardama no podía asegurarles el pago mediante la cesión de crédito emergente de la carta de pago al no poder cumplir con los plazos estipulados y carecer de otra fuente de financiamiento propio o crediticio</w:t>
      </w:r>
      <w:r>
        <w:rPr>
          <w:rtl w:val="0"/>
        </w:rPr>
        <w:t>". Como precisó la Ministra LAZO, "</w:t>
      </w:r>
      <w:r>
        <w:rPr>
          <w:i/>
          <w:iCs/>
          <w:rtl w:val="0"/>
        </w:rPr>
        <w:t>no es ajustado a la verdad que la relación con su proveedor se vio perjudicada por el anuncio presidencial del 22 de octubre de 2025, ya que antes de eso el problema era la falta de financiamiento</w:t>
      </w:r>
      <w:r>
        <w:rPr>
          <w:rtl w:val="0"/>
        </w:rPr>
        <w:t>" (VT del 3 de agosto de 2026, pág. 36). Lo más significativo es que Cardama procedió a realizar este hito sin que hubiera sido emitida la correspondiente carta de crédito y sabiendo, además, que los motores no llegarían en los plazos necesarios y que todavía se encontraba en trámite el correspondiente proceso administrativo. Es decir, la empresa decidió adelantar la puesta de quilla cuando no contaba con el respaldo financiero previsto y cuando conocía que tampoco estaban dadas las condiciones materiales y administrativas necesarias para avanzar normalmente con la construcción. A ello se añade un elemento especialmente relevante: según el informe pericial de Bureau Veritas, la quilla se encontraba dada vuelta. De confirmarse técnicamente este extremo, la propia naturaleza del acto realizado cuestionaría todavía más que aquella puesta de quilla pudiera presentarse como una señal inequívoca de avance efectivo de la construcción.</w:t>
      </w:r>
    </w:p>
    <w:p w14:paraId="0000018A">
      <w:pPr>
        <w:numPr>
          <w:ilvl w:val="0"/>
          <w:numId w:val="1"/>
        </w:numPr>
        <w:spacing w:after="0"/>
        <w:ind w:left="0" w:hanging="566"/>
      </w:pPr>
      <w:r>
        <w:rPr>
          <w:rtl w:val="0"/>
        </w:rPr>
        <w:t>El desenlace se precipitó con el vencimiento de la garantía de fiel cumplimiento. La garantía de Eurocommerce —aceptada por la administración anterior con vigencia anual renovable, en violación del plazo contractual de 42 meses— vencía el 22 de octubre de 2025, debiendo Cardama acreditar su renovación treinta días antes, esto es, el 22 de setiembre de 2025. Cardama no presentó la renovación en tiempo y forma (VT del 3 de agosto de 2026, pág. 37). El Estado se encontraba habilitado a ejecutar la garantía desde el 22 de setiembre, no obstante, lo cual se aguardó hasta casi el final del plazo máximo, en una tolerancia adicional con el proveedor (VT del 3 de agosto de 2026, pág. 38). El 20 de octubre de 2025 se dispuso promover la ejecución de la garantía, cursándose instrucciones a la Embajada de la República en el Reino Unido. Fue en ese momento —al realizar la debida diligencia ante la entidad garante para ejecutar el aval— que se constató que Eurocommerce Ltd. era una entidad inexistente, con domicilio falso, formalmente en disolución y sin actividad sustancial alguna (VT del 3 de agosto de 2026, pág. 38). El 22 de octubre de 2025 la Presidencia de la República anunció públicamente la constatación del fraude y el inicio del camino hacia la rescisión; ese mismo día, como se consignó en el numeral 6.7, la empresa remitió una "renovación" de garantía nuevamente apócrifa. El 24 de octubre de 2025 el Poder Ejecutivo presentó la denuncia penal ante la Fiscalía competente, la que se encuentra en trámite (VT del 3 de agosto de 2026, págs. 39, 40 y 42).</w:t>
      </w:r>
    </w:p>
    <w:p w14:paraId="0000018B">
      <w:pPr>
        <w:numPr>
          <w:ilvl w:val="0"/>
          <w:numId w:val="1"/>
        </w:numPr>
        <w:spacing w:after="0"/>
        <w:ind w:left="0" w:hanging="566"/>
      </w:pPr>
      <w:r>
        <w:rPr>
          <w:rtl w:val="0"/>
        </w:rPr>
        <w:t>El informe del Director de Servicios Jurídicos del MDN, Dr. Alfredo Maeso, concluyó que "</w:t>
      </w:r>
      <w:r>
        <w:rPr>
          <w:i/>
          <w:iCs/>
          <w:rtl w:val="0"/>
        </w:rPr>
        <w:t>se estaba en presencia de un incumplimiento muy grave, que no solo afectaba la obligación de mantener vigente una garantía de fiel cumplimiento, sino particularmente el caso podía también determinar un eventual apartamiento de los deberes de buena fe y probidad de parte de Cardama, lo que podría dar lugar a la aplicación de un mecanismo de rescisión unilateral del contrato, con arreglo al artículo 70 del TOCAF</w:t>
      </w:r>
      <w:r>
        <w:rPr>
          <w:rtl w:val="0"/>
        </w:rPr>
        <w:t>" (VT del 3 de agosto de 2026, pág. 38). Se agregó asimismo la consulta a una catedrática de Derecho Administrativo, que concluyó respecto de la existencia de un incumplimiento grave que jurídicamente podría ameritar la rescisión unilateral del contrato (VT del 3 de agosto de 2026, pág. 51).</w:t>
      </w:r>
    </w:p>
    <w:p w14:paraId="0000018C">
      <w:pPr>
        <w:numPr>
          <w:ilvl w:val="0"/>
          <w:numId w:val="1"/>
        </w:numPr>
        <w:spacing w:after="0"/>
        <w:ind w:left="0" w:hanging="566"/>
      </w:pPr>
      <w:r>
        <w:rPr>
          <w:rtl w:val="0"/>
        </w:rPr>
        <w:t>A los efectos de preservar las garantías del debido procedimiento, se inició un nuevo expediente administrativo en el que se confirieron a la empresa dos vistas sucesivas: la primera, el 26 de diciembre de 2025, respecto del incumplimiento de la garantía de fiel cumplimiento (cláusula 36), la constatación de que "</w:t>
      </w:r>
      <w:r>
        <w:rPr>
          <w:i/>
          <w:iCs/>
          <w:rtl w:val="0"/>
        </w:rPr>
        <w:t>el Estado uruguayo no cuenta con una garantía válida vigente que pueda ejecutar en caso de incumplimiento de la empresa</w:t>
      </w:r>
      <w:r>
        <w:rPr>
          <w:rtl w:val="0"/>
        </w:rPr>
        <w:t>", las irregularidades en los avales informadas por la Policía Técnica y por el notario español Martínez-Gil Vich, y el incumplimiento del reglamento de bandera; la segunda, el 28 de enero de 2026, respecto de las irregularidades de la garantía de reembolso y de los incumplimientos técnicos determinados por Bureau Veritas y por la Comisión Técnica actuante (VT del 3 de agosto de 2026, págs. 50, 52 y 54). La empresa evacuó las vistas con alegaciones genéricas, admitió la falsedad e inexistencia de la garantía aportada, invocó ser también víctima de un engaño y —extremo decisivo— jamás aportó ni ofreció garantía sustitutiva alguna: "</w:t>
      </w:r>
      <w:r>
        <w:rPr>
          <w:i/>
          <w:iCs/>
          <w:rtl w:val="0"/>
        </w:rPr>
        <w:t>ante el incumplimiento de la obligación de garantizar el contrato, el constructor jamás se preocupó de presentar una garantía en sustitución de la garantía falsa originalmente presentada, lo que determina un contumaz incumplimiento respecto de esa obligación sustantiva y muy relevante […] de hecho sin esta garantía el contrato no habría entrado en vigencia</w:t>
      </w:r>
      <w:r>
        <w:rPr>
          <w:rtl w:val="0"/>
        </w:rPr>
        <w:t>" (VT del 3 de agosto de 2026, pág. 54). Consultada expresamente la Ministra sobre si el Ministerio o el Poder Ejecutivo recibieron de Cardama alguna alternativa a la garantía falsa, respondió: "</w:t>
      </w:r>
      <w:r>
        <w:rPr>
          <w:i/>
          <w:iCs/>
          <w:rtl w:val="0"/>
        </w:rPr>
        <w:t>No, no se recibió absolutamente nada</w:t>
      </w:r>
      <w:r>
        <w:rPr>
          <w:rtl w:val="0"/>
        </w:rPr>
        <w:t>" (VT del 3 de agosto de 2026, pág. 103).</w:t>
      </w:r>
    </w:p>
    <w:p w14:paraId="0000018D">
      <w:pPr>
        <w:numPr>
          <w:ilvl w:val="0"/>
          <w:numId w:val="1"/>
        </w:numPr>
        <w:spacing w:after="0"/>
        <w:ind w:left="0" w:hanging="566"/>
      </w:pPr>
      <w:r>
        <w:rPr>
          <w:rtl w:val="0"/>
        </w:rPr>
        <w:t xml:space="preserve">El 13 de febrero de 2026 el Consejo de Ministros dictó dos resoluciones: la primera, fundada exclusivamente en los incumplimientos jurídicos vinculados a las garantías y a los deberes de probidad y buena fe, disponiendo la rescisión del contrato de acuerdo al artículo 70 del TOCAF; la segunda, ordenando que en relación con los restantes incumplimientos se promuevan las acciones civiles, administrativas y arbitrales que por derecho correspondan (VT del 3 de agosto de 2026, pág. 55). CARDAMA, a la que por mayor garantía se le notificaron por dos veces los actos referidos, no promovió impugnación alguna, habiendo los mismos adquirido plena firmeza jurídica (VT del 3 de agosto de 2026, pág. 55). </w:t>
      </w:r>
    </w:p>
    <w:p w14:paraId="0000018E">
      <w:pPr>
        <w:numPr>
          <w:ilvl w:val="0"/>
          <w:numId w:val="1"/>
        </w:numPr>
        <w:shd w:val="clear" w:fill="FCFCFC"/>
        <w:spacing w:after="0"/>
        <w:ind w:left="0" w:hanging="566"/>
      </w:pPr>
      <w:r>
        <w:rPr>
          <w:rtl w:val="0"/>
        </w:rPr>
        <w:t>Tal como surge de las actuaciones administrativas, Cardama no interpuso recurso administrativo alguno contra las resoluciones que dispusieron e instrumentaron la rescisión del Contrato. En consecuencia, al haber transcurrido los plazos legales sin que fueran impugnadas, dichas resoluciones adquirieron firmeza en sede administrativa.</w:t>
      </w:r>
    </w:p>
    <w:p w14:paraId="0000018F">
      <w:pPr>
        <w:numPr>
          <w:ilvl w:val="0"/>
          <w:numId w:val="1"/>
        </w:numPr>
        <w:shd w:val="clear" w:fill="FCFCFC"/>
        <w:spacing w:after="0"/>
        <w:ind w:left="0" w:hanging="566"/>
      </w:pPr>
      <w:r>
        <w:rPr>
          <w:rtl w:val="0"/>
        </w:rPr>
        <w:t xml:space="preserve">La conducta de Cardama permite afirmar que la rescisión fue tácitamente consentida, en tanto, teniendo a su disposición los mecanismos jurídicos para controvertir las decisiones de la Administración. </w:t>
      </w:r>
    </w:p>
    <w:p w14:paraId="00000190">
      <w:pPr>
        <w:numPr>
          <w:ilvl w:val="0"/>
          <w:numId w:val="1"/>
        </w:numPr>
        <w:shd w:val="clear" w:fill="FCFCFC"/>
        <w:spacing w:after="0"/>
        <w:ind w:left="0" w:hanging="566"/>
      </w:pPr>
      <w:r>
        <w:rPr>
          <w:rtl w:val="0"/>
        </w:rPr>
        <w:t xml:space="preserve">Frente a un contrato afectado por graves incumplimientos, irregularidades en las garantías y riesgos concretos para el patrimonio del Estado, el Gobierno actuó con firmeza, adoptó las medidas necesarias para proteger los intereses públicos y dispuso la rescisión del vínculo contractual. </w:t>
      </w:r>
    </w:p>
    <w:p w14:paraId="00000191">
      <w:pPr>
        <w:numPr>
          <w:ilvl w:val="0"/>
          <w:numId w:val="1"/>
        </w:numPr>
        <w:shd w:val="clear" w:fill="FCFCFC"/>
        <w:spacing w:after="0"/>
        <w:ind w:left="0" w:hanging="566"/>
      </w:pPr>
      <w:r>
        <w:rPr>
          <w:rtl w:val="0"/>
        </w:rPr>
        <w:t>Otro hecho que queda demostrado a partir de la prueba reunida por esta Comisión es que Cardama nunca presentó una nueva garantía válida destinada a sustituir o subsanar la Garantía de Fiel Cumplimiento de Eurocommerce. La Ministra Lazo fue clara al señalar que, durante las vistas conferidas a la empresa en el procedimiento administrativo, Cardama no presentó una nueva garantía que permitiera recomponer el requisito esencial que se encontraba incumplido.</w:t>
      </w:r>
    </w:p>
    <w:p w14:paraId="00000192">
      <w:pPr>
        <w:numPr>
          <w:ilvl w:val="0"/>
          <w:numId w:val="1"/>
        </w:numPr>
        <w:shd w:val="clear" w:fill="FCFCFC"/>
        <w:spacing w:after="0"/>
        <w:ind w:left="0" w:hanging="566"/>
      </w:pPr>
      <w:r>
        <w:rPr>
          <w:rtl w:val="0"/>
        </w:rPr>
        <w:t>Este dato resulta particularmente relevante. Si el problema hubiera radicado exclusivamente en la falsedad, inexistencia o ineficacia de la garantía de Eurocommerce, Cardama tuvo la posibilidad de presentar un nuevo instrumento válido, emitido por una entidad solvente y susceptible de ser verificado, que permitiera restablecer la cobertura exigida por el Contrato. No lo hizo.</w:t>
      </w:r>
    </w:p>
    <w:p w14:paraId="00000193">
      <w:pPr>
        <w:numPr>
          <w:ilvl w:val="0"/>
          <w:numId w:val="1"/>
        </w:numPr>
        <w:shd w:val="clear" w:fill="FCFCFC"/>
        <w:spacing w:after="0"/>
        <w:ind w:left="0" w:hanging="566"/>
      </w:pPr>
      <w:r>
        <w:rPr>
          <w:rtl w:val="0"/>
        </w:rPr>
        <w:t xml:space="preserve">La empresa pudo haber intentado subsanar el incumplimiento mediante la constitución de una nueva garantía que cumpliera efectivamente con las condiciones pactadas. Sin embargo, no presentó durante el procedimiento una garantía alternativa que pudiera ser considerada jurídicamente apta, verificable y eficaz para proteger los intereses del Estado. </w:t>
      </w:r>
    </w:p>
    <w:p w14:paraId="00000194">
      <w:pPr>
        <w:numPr>
          <w:ilvl w:val="0"/>
          <w:numId w:val="1"/>
        </w:numPr>
        <w:spacing w:after="0"/>
        <w:ind w:left="0" w:hanging="566"/>
      </w:pPr>
      <w:r>
        <w:rPr>
          <w:rtl w:val="0"/>
        </w:rPr>
        <w:t>El fundamento de la rescisión fue expresado por la Ministra en términos que esta Comisión comparte: "</w:t>
      </w:r>
      <w:r>
        <w:rPr>
          <w:i/>
          <w:iCs/>
          <w:rtl w:val="0"/>
        </w:rPr>
        <w:t>no cabía otra alternativa que rescindir un contrato cuando se produjo un muy fundado quiebre de la confianza hacia el constructor […] el Estado —más en este caso— ha sido víctima de un engaño tan grave que no puede ni debe actuar como si nada hubiera pasado</w:t>
      </w:r>
      <w:r>
        <w:rPr>
          <w:rtl w:val="0"/>
        </w:rPr>
        <w:t>" (VT del 3 de agosto de 2026, págs. 55 y 56).</w:t>
      </w:r>
    </w:p>
    <w:p w14:paraId="00000195">
      <w:pPr>
        <w:numPr>
          <w:ilvl w:val="0"/>
          <w:numId w:val="1"/>
        </w:numPr>
        <w:spacing w:after="0"/>
        <w:ind w:left="0" w:hanging="566"/>
      </w:pPr>
      <w:r>
        <w:rPr>
          <w:rtl w:val="0"/>
        </w:rPr>
        <w:t>La rescisión tuvo como objetivo inmediato proteger los intereses y el patrimonio del Estado frente a incumplimientos que ya habían alcanzado una gravedad incompatible con la continuidad del contrato. Esa decisión tuvo, además, una consecuencia económica concreta: evitó que continuaran ejecutándose pagos por € 53.475.500, correspondientes a la diferencia entre el precio total contratado de € 82.270.000 y los € 28.794.500 ya desembolsados. El Poder Ejecutivo evitó que continuaran efectuándose pagos en el marco de un contrato respecto del cual ya se habían constatado incumplimientos graves y la invalidez de garantías esenciales.</w:t>
      </w:r>
    </w:p>
    <w:p w14:paraId="00000196">
      <w:pPr>
        <w:numPr>
          <w:ilvl w:val="0"/>
          <w:numId w:val="1"/>
        </w:numPr>
        <w:ind w:left="0" w:hanging="566"/>
        <w:rPr>
          <w:rFonts w:ascii="Times New Roman" w:hAnsi="Times New Roman" w:eastAsia="Times New Roman" w:cs="Times New Roman"/>
        </w:rPr>
      </w:pPr>
      <w:r>
        <w:rPr>
          <w:rtl w:val="0"/>
        </w:rPr>
        <w:t>Al cierre de los trabajos de esta Comisión, la situación es la siguiente: la empresa Cardama, tras desistir de accionar ante la jurisdicción nacional y dejar sin efecto la conciliación previa, promovió un arbitraje internacional contra el Estado uruguayo, actualmente en trámite; el Estado presenta su demanda en el fuero interno para el resarcimiento de los daños causados</w:t>
      </w:r>
      <w:r>
        <w:rPr>
          <w:b/>
          <w:bCs/>
          <w:rtl w:val="0"/>
        </w:rPr>
        <w:t xml:space="preserve">; </w:t>
      </w:r>
      <w:r>
        <w:rPr>
          <w:rtl w:val="0"/>
        </w:rPr>
        <w:t>la propiedad de lo construido corresponde de pleno derecho al comprador conforme al contrato, encontrándose a estudio las implicancias legales, técnicas y logísticas de su retiro (VT del 3 de agosto de 2026, págs. 124 y 125). El perjuicio patrimonial en riesgo comprende los aproximadamente treinta millones de dólares abonados por el Estado (primer pago, Hito B e Hito C), los costos de asesoramiento y defensa ya incurridos, y el daño estratégico —de imposible cuantificación— derivado de que la Armada Nacional continúa sin patrullas oceánicas para el ejercicio efectivo de la soberanía en su jurisdicción marítima.</w:t>
      </w:r>
    </w:p>
    <w:p w14:paraId="00000197">
      <w:pPr>
        <w:pStyle w:val="2"/>
        <w:spacing w:before="200" w:after="200"/>
        <w:rPr>
          <w:u w:val="single"/>
        </w:rPr>
      </w:pPr>
      <w:bookmarkStart w:id="28" w:name="_heading=h.lmo8rm2f2j2g" w:colFirst="0" w:colLast="0"/>
      <w:bookmarkEnd w:id="28"/>
      <w:r>
        <w:rPr>
          <w:u w:val="single"/>
          <w:rtl w:val="0"/>
        </w:rPr>
        <w:t>VI. CONCLUSIONES</w:t>
      </w:r>
    </w:p>
    <w:p w14:paraId="00000198">
      <w:pPr>
        <w:numPr>
          <w:ilvl w:val="0"/>
          <w:numId w:val="1"/>
        </w:numPr>
        <w:ind w:left="0" w:hanging="566"/>
      </w:pPr>
      <w:r>
        <w:rPr>
          <w:rtl w:val="0"/>
        </w:rPr>
        <w:t>El análisis de la documentación incorporada y de los testimonios recibidos durante el trabajo de esta Comisión nos permite arribar a una conclusión que trasciende la existencia de errores o deficiencias puntuales en una contratación particularmente compleja. Lo que surge de las actuaciones es una sucesión de decisiones y omisiones que, entre 2023 y febrero de 2025, debilitaron progresivamente los mecanismos de control y las garantías destinadas a proteger los intereses del Estado uruguayo, frente a una empresa que incumplió reiteradamente sus obligaciones y cuya actuación estuvo signada por la mala fe.</w:t>
      </w:r>
    </w:p>
    <w:p w14:paraId="00000199">
      <w:pPr>
        <w:rPr>
          <w:b/>
          <w:bCs/>
        </w:rPr>
      </w:pPr>
      <w:r>
        <w:rPr>
          <w:b/>
          <w:bCs/>
          <w:rtl w:val="0"/>
        </w:rPr>
        <w:t>A. LA CONTRATACIÓN DE CARDAMA SIGNIFICÓ UN QUIEBRE RESPECTO DE LOS CRITERIOS TÉCNICOS UTILIZADOS HASTA ENTONCES</w:t>
      </w:r>
    </w:p>
    <w:p w14:paraId="0000019A">
      <w:pPr>
        <w:numPr>
          <w:ilvl w:val="0"/>
          <w:numId w:val="1"/>
        </w:numPr>
        <w:ind w:left="0" w:hanging="566"/>
      </w:pPr>
      <w:r>
        <w:rPr>
          <w:rtl w:val="0"/>
        </w:rPr>
        <w:t>El proceso que culminó con la contratación de Francisco Cardama S.A. supuso un apartamiento sustantivo de los criterios que la propia Armada Nacional había aplicado apenas un año antes. No es un dato menor que el camino que condujo a esa contratación se inicie precisamente donde termina el que la propia Armada había construido con seriedad técnica.</w:t>
      </w:r>
    </w:p>
    <w:p w14:paraId="0000019B">
      <w:pPr>
        <w:numPr>
          <w:ilvl w:val="0"/>
          <w:numId w:val="1"/>
        </w:numPr>
        <w:spacing w:after="0"/>
        <w:ind w:left="0" w:hanging="566"/>
      </w:pPr>
      <w:r>
        <w:rPr>
          <w:rtl w:val="0"/>
        </w:rPr>
        <w:t>La compra directa Nº 1/2022 fue el resultado de años de trabajo de comisiones técnicas especializadas. Una Comisión integrada por oficiales especializados había elaborado más de ochenta requisitos técnicos, muchos de ellos excluyentes, para garantizar que el Estado uruguayo adquiriera embarcaciones probadas, construidas por astilleros con capacidad real. Ese procedimiento permitió comparar objetivamente las ofertas y descartar aquellas que no cumplían las condiciones establecidas.</w:t>
      </w:r>
    </w:p>
    <w:p w14:paraId="0000019C">
      <w:pPr>
        <w:numPr>
          <w:ilvl w:val="0"/>
          <w:numId w:val="1"/>
        </w:numPr>
        <w:spacing w:after="0"/>
        <w:ind w:left="0" w:hanging="566"/>
      </w:pPr>
      <w:r>
        <w:rPr>
          <w:rtl w:val="0"/>
        </w:rPr>
        <w:t>En 2023, en cambio, el proceso de compra directa se inició a partir de una oferta presentada espontáneamente por Cardama, y las exigencias utilizadas para seleccionar las propuestas fueron reducidas a apenas tres parámetros, sin fundamento alguno registrado en el expediente. Los integrantes de la Comisión Técnica que habían trabajado en el procedimiento anterior no fueron consultados ni participaron en la evaluación de 2023.</w:t>
      </w:r>
    </w:p>
    <w:p w14:paraId="0000019D">
      <w:pPr>
        <w:numPr>
          <w:ilvl w:val="0"/>
          <w:numId w:val="1"/>
        </w:numPr>
        <w:spacing w:after="0"/>
        <w:ind w:left="0" w:hanging="566"/>
      </w:pPr>
      <w:r>
        <w:rPr>
          <w:rtl w:val="0"/>
        </w:rPr>
        <w:t>Antes de que la Comisión Asesora formulara su recomendación definitiva, representantes de Cardama mantuvieron una reunión con autoridades del Ministerio de Defensa Nacional y de la Armada el 13 de junio de 2023, instancia de la que ningún jerarca de la época pudo dar cuenta satisfactoriamente ante esta Comisión. Luego de ese encuentro, la empresa presentó una propuesta modificada antes de que culminara formalmente el proceso de evaluación. La oferta de Cardama incorporó exigencias crecientes con un aumento de precio de más de catorce millones de euros respecto de la propuesta inicial.</w:t>
      </w:r>
    </w:p>
    <w:p w14:paraId="0000019E">
      <w:pPr>
        <w:numPr>
          <w:ilvl w:val="0"/>
          <w:numId w:val="1"/>
        </w:numPr>
        <w:spacing w:after="0"/>
        <w:ind w:left="0" w:hanging="566"/>
      </w:pPr>
      <w:r>
        <w:rPr>
          <w:rtl w:val="0"/>
        </w:rPr>
        <w:t>La Comisión no recibió una explicación técnica o administrativa suficiente que justificara el cambio de procedimiento. La prueba reunida demuestra que el proceso que culminó con la selección de Cardama contó con menos exigencias, menos controles técnicos y menores garantías de comparación que el desarrollado en 2022. No estamos frente a un simple cambio de criterio técnico: estamos frente a la construcción de un camino a medida de un oferente determinado, en desmedro de la comparabilidad y la transparencia que un contrato de esta magnitud, el más importante en la historia de la Armada Nacional, exigía.</w:t>
      </w:r>
    </w:p>
    <w:p w14:paraId="0000019F">
      <w:pPr>
        <w:numPr>
          <w:ilvl w:val="0"/>
          <w:numId w:val="1"/>
        </w:numPr>
        <w:ind w:left="0" w:hanging="566"/>
      </w:pPr>
      <w:r>
        <w:rPr>
          <w:rtl w:val="0"/>
        </w:rPr>
        <w:t>La División Jurídica del Tribunal de Cuentas formuló observaciones severas respecto del procedimiento seguido, señalando afectaciones a los principios esenciales de igualdad, transparencia y buena fe. Estas observaciones son contemporáneas al proceso, no una valoración construida a posteriori.</w:t>
      </w:r>
    </w:p>
    <w:p w14:paraId="000001A0">
      <w:pPr>
        <w:pStyle w:val="3"/>
        <w:rPr>
          <w:u w:val="none"/>
        </w:rPr>
      </w:pPr>
      <w:bookmarkStart w:id="29" w:name="_heading=h.l7v947z6kz1l" w:colFirst="0" w:colLast="0"/>
      <w:bookmarkEnd w:id="29"/>
      <w:r>
        <w:rPr>
          <w:u w:val="none"/>
          <w:rtl w:val="0"/>
        </w:rPr>
        <w:t>B. FALTA DE RESPALDO EN LAS DECISIONES ADMINISTRATIVAS Y DEBILIDAD DE LOS CONTROLES</w:t>
      </w:r>
    </w:p>
    <w:p w14:paraId="000001A1">
      <w:pPr>
        <w:numPr>
          <w:ilvl w:val="0"/>
          <w:numId w:val="1"/>
        </w:numPr>
        <w:ind w:left="0" w:hanging="566"/>
      </w:pPr>
      <w:r>
        <w:rPr>
          <w:rtl w:val="0"/>
        </w:rPr>
        <w:t>En un contrato de €82.270.000, la existencia de expedientes completos, decisiones fundadas y controles documentados constituye una garantía esencial para el Estado y para quienes deben responder por las decisiones adoptadas. Lo que esta Comisión encontró fue lo opuesto.</w:t>
      </w:r>
    </w:p>
    <w:p w14:paraId="000001A2">
      <w:pPr>
        <w:numPr>
          <w:ilvl w:val="0"/>
          <w:numId w:val="1"/>
        </w:numPr>
        <w:spacing w:after="0"/>
        <w:ind w:left="0" w:hanging="566"/>
      </w:pPr>
      <w:r>
        <w:rPr>
          <w:rtl w:val="0"/>
        </w:rPr>
        <w:t>El expediente correspondiente a la contratación de Cardama se inicia sin que conste un acto administrativo previo del Ministerio de Defensa Nacional disponiendo el llamado o el comienzo del procedimiento. Más grave aún: entre la firma del contrato, el 15 de diciembre de 2023, y su entrada en vigor, el 13 de diciembre de 2024, no existe en el expediente administrativo registro alguno de las actuaciones vinculadas a uno de los aspectos centrales del contrato, esto es, la constitución de las garantías exigidas contractualmente, cuya presentación constituía una condición necesaria para que el contrato entrara en vigor.</w:t>
      </w:r>
    </w:p>
    <w:p w14:paraId="000001A3">
      <w:pPr>
        <w:numPr>
          <w:ilvl w:val="0"/>
          <w:numId w:val="1"/>
        </w:numPr>
        <w:spacing w:after="0"/>
        <w:ind w:left="0" w:hanging="566"/>
      </w:pPr>
      <w:r>
        <w:rPr>
          <w:rtl w:val="0"/>
        </w:rPr>
        <w:t>Ese período de casi un año debió ser reconstruido posteriormente a partir de correos electrónicos y otras comunicaciones conservadas por el estudio jurídico Delpiazzo Abogados, contratado por el Ministerio para brindar asesoramiento en la confección del contrato. El propio Delpiazzo dejó constancia, en comunicaciones de noviembre de 2024, de que "preocupa la desprolijidad con que se mueve este señor, una y otra vez", en referencia al accionar de Mario Cardama en el proceso de constitución de garantías.</w:t>
      </w:r>
    </w:p>
    <w:p w14:paraId="000001A4">
      <w:pPr>
        <w:numPr>
          <w:ilvl w:val="0"/>
          <w:numId w:val="1"/>
        </w:numPr>
        <w:spacing w:after="0"/>
        <w:ind w:left="0" w:hanging="566"/>
      </w:pPr>
      <w:r>
        <w:rPr>
          <w:rtl w:val="0"/>
        </w:rPr>
        <w:t>A esta ausencia de expediente se agrega una preocupante costumbre de resolver por la vía verbal las decisiones más trascendentes. La prórroga de 72 horas del 3 de setiembre de 2024, la que terminaría habilitando la presentación de la garantía que resultó falsa, fue otorgada mediante instrucción verbal del entonces Ministro Castaingdebat, sin resolución escrita, sin fundamento documentado, y contradiciendo lo que el propio Ministerio había comunicado por escrito meses antes: que no se concederían nuevas extensiones.</w:t>
      </w:r>
    </w:p>
    <w:p w14:paraId="000001A5">
      <w:pPr>
        <w:numPr>
          <w:ilvl w:val="0"/>
          <w:numId w:val="1"/>
        </w:numPr>
        <w:spacing w:after="0"/>
        <w:ind w:left="0" w:hanging="566"/>
      </w:pPr>
      <w:r>
        <w:rPr>
          <w:rtl w:val="0"/>
        </w:rPr>
        <w:t>Más revelador aún: cuando el Ministerio llegó a preparar, con intervención del Estudio Delpiazzo, la comunicación destinada a dar el contrato por "no celebrado" ante el vencimiento largamente consumado de los plazos, esa comunicación quedó como un borrador que nunca se envió. No consta en el expediente una fundamentación técnica o jurídica que explique por qué se decidió no cursarla.</w:t>
      </w:r>
    </w:p>
    <w:p w14:paraId="000001A6">
      <w:pPr>
        <w:numPr>
          <w:ilvl w:val="0"/>
          <w:numId w:val="1"/>
        </w:numPr>
        <w:spacing w:after="0"/>
        <w:ind w:left="0" w:hanging="566"/>
      </w:pPr>
      <w:r>
        <w:rPr>
          <w:rtl w:val="0"/>
        </w:rPr>
        <w:t>La misma liviandad se repite en los momentos de pagar: no hay ningún informe que respalde la decisión de considerar válidamente constituidas las garantías cuando se autorizó el primer pago de €8.227.000. El segundo pago se aprobó el mismo día en que se recibió la documentación, sin traducir, sin apostillar, sin control del Jefe de Proyecto, apenas dos días antes de que asumiera el nuevo gobierno, el 27 y 28 de febrero de 2025.</w:t>
      </w:r>
    </w:p>
    <w:p w14:paraId="000001A7">
      <w:pPr>
        <w:numPr>
          <w:ilvl w:val="0"/>
          <w:numId w:val="1"/>
        </w:numPr>
        <w:spacing w:after="0"/>
        <w:ind w:left="0" w:hanging="566"/>
      </w:pPr>
      <w:r>
        <w:rPr>
          <w:rtl w:val="0"/>
        </w:rPr>
        <w:t>Todo resuelto sin expediente, sin resoluciones fundadas, sin controles documentados, ningún funcionario queda expuesto a asumir la responsabilidad de sus actos. Eso es exactamente lo que permitió que el proceso avanzara pese a señales de alerta cada vez más evidentes.</w:t>
      </w:r>
    </w:p>
    <w:p w14:paraId="000001A8">
      <w:pPr>
        <w:numPr>
          <w:ilvl w:val="0"/>
          <w:numId w:val="1"/>
        </w:numPr>
        <w:ind w:left="0" w:hanging="566"/>
      </w:pPr>
      <w:r>
        <w:rPr>
          <w:rtl w:val="0"/>
        </w:rPr>
        <w:t>Lo que surge de la investigación es una forma de gobernar en la que decisiones esenciales para la protección de los dineros públicos fueron adoptadas al margen de los procedimientos que debían asegurar su fundamentación, trazabilidad y control.</w:t>
      </w:r>
    </w:p>
    <w:p w14:paraId="000001A9">
      <w:pPr>
        <w:pStyle w:val="3"/>
        <w:keepNext w:val="0"/>
        <w:keepLines w:val="0"/>
        <w:rPr>
          <w:u w:val="none"/>
        </w:rPr>
      </w:pPr>
      <w:bookmarkStart w:id="30" w:name="_heading=h.erlnwepmosww" w:colFirst="0" w:colLast="0"/>
      <w:bookmarkEnd w:id="30"/>
      <w:r>
        <w:rPr>
          <w:u w:val="none"/>
          <w:rtl w:val="0"/>
        </w:rPr>
        <w:t>C. CARDAMA INCUMPLIÓ SISTEMÁTICAMENTE SUS OBLIGACIONES Y ACTUÓ DE MALA FE</w:t>
      </w:r>
    </w:p>
    <w:p w14:paraId="000001AA">
      <w:pPr>
        <w:numPr>
          <w:ilvl w:val="0"/>
          <w:numId w:val="1"/>
        </w:numPr>
        <w:ind w:left="0" w:hanging="566"/>
      </w:pPr>
      <w:r>
        <w:rPr>
          <w:rtl w:val="0"/>
        </w:rPr>
        <w:t>Francisco Cardama S.A. es el principal responsable de la situación que motivó el trabajo de esta Comisión. La empresa no solo conocía la obligación de constituir las garantías dentro del plazo estipulado, sino que había asumido expresamente esa obligación al celebrar el contrato con el Estado uruguayo. Sin embargo, la magnitud del perjuicio ocasionado al patrimonio público no hubiera sido posible sin la actuación u omisión de funcionarios públicos que, durante el proceso, dejaron de ejercer los controles y adoptar las decisiones necesarias para impedir que esa situación avanzara. La responsabilidad de las autoridades del gobierno anterior no disminuye la responsabilidad de Cardama; pero la responsabilidad de Cardama tampoco exime a quienes tenían el deber de proteger al Estado y no lo hicieron.</w:t>
      </w:r>
    </w:p>
    <w:p w14:paraId="000001AB">
      <w:pPr>
        <w:numPr>
          <w:ilvl w:val="0"/>
          <w:numId w:val="1"/>
        </w:numPr>
        <w:spacing w:after="0"/>
        <w:ind w:left="0" w:hanging="566"/>
      </w:pPr>
      <w:r>
        <w:rPr>
          <w:rtl w:val="0"/>
        </w:rPr>
        <w:t>Durante meses, Cardama presentó sucesivas propuestas que fueron observadas o rechazadas, solicitó reiteradas extensiones de los plazos y no logró acreditar en tiempo y forma el cumplimiento de una obligación que ella misma había aceptado como parte esencial del acuerdo contractual. Ese período debió ser reconstruido a partir de correos electrónicos conservados por el Estudio Delpiazzo, ya que buena parte de esas actuaciones no había quedado incorporada al expediente administrativo.</w:t>
      </w:r>
    </w:p>
    <w:p w14:paraId="000001AC">
      <w:pPr>
        <w:numPr>
          <w:ilvl w:val="0"/>
          <w:numId w:val="1"/>
        </w:numPr>
        <w:spacing w:after="0"/>
        <w:ind w:left="0" w:hanging="566"/>
      </w:pPr>
      <w:r>
        <w:rPr>
          <w:rtl w:val="0"/>
        </w:rPr>
        <w:t>Finalmente, la documentación presentada para acreditar la garantía de fiel cumplimiento incluyó un acta notarial falsificada. Pero este hecho no se presentó de manera aislada. La investigación reveló una sucesión de maniobras que conviene describir con precisión.</w:t>
      </w:r>
    </w:p>
    <w:p w14:paraId="000001AD">
      <w:pPr>
        <w:numPr>
          <w:ilvl w:val="0"/>
          <w:numId w:val="1"/>
        </w:numPr>
        <w:spacing w:after="0"/>
        <w:ind w:left="0" w:hanging="566"/>
      </w:pPr>
      <w:r>
        <w:rPr>
          <w:rtl w:val="0"/>
        </w:rPr>
        <w:t>La dirección de Londres consignada por Cardama en la documentación de la garantía, mantenida en las sucesivas propuestas remitidas al Estado uruguayo desde septiembre de 2024, ya no correspondía a Eurocommerce desde mayo de 2023, más de un año antes de la emisión del documento. No se trataba de un error circunstancial: la información incorrecta estaba presente desde el momento mismo en que se confeccionó la garantía. La propia entidad se encontraba en proceso de disolución registral. El documento presentado como garantía de reembolso de Redbridge Insurance Company Ltd. tampoco correspondía a la póliza contractual exigida, sino a un borrador sin eficacia jurídica, distinto del instrumento real.</w:t>
      </w:r>
    </w:p>
    <w:p w14:paraId="000001AE">
      <w:pPr>
        <w:numPr>
          <w:ilvl w:val="0"/>
          <w:numId w:val="1"/>
        </w:numPr>
        <w:spacing w:after="0"/>
        <w:ind w:left="0" w:hanging="566"/>
      </w:pPr>
      <w:r>
        <w:rPr>
          <w:rtl w:val="0"/>
        </w:rPr>
        <w:t>Cuando el Estado constató que Eurocommerce no había renovado la garantía en plazo y procedió a su ejecución, Cardama remitió ese mismo día un documento que pretendía acreditar su renovación. Ese documento estaba firmado por la misma persona, consignaba nuevamente el domicilio que las autoridades uruguayas acababan de verificar que no correspondía a Eurocommerce, contenía un error de fecha que situaba su emisión en 2024 en lugar de 2025, y fue remitido como una simple copia escaneada, sin original ni apostilla. Ese envío se produjo minutos antes de la conferencia de prensa en la que el Gobierno se disponía a informar públicamente las irregularidades detectadas. La coincidencia no es casual: revela que Cardama actuó con pleno conocimiento de que la maniobra estaba por salir a la luz e intentó una última cobertura antes de que se hiciera pública.</w:t>
      </w:r>
    </w:p>
    <w:p w14:paraId="000001AF">
      <w:pPr>
        <w:numPr>
          <w:ilvl w:val="0"/>
          <w:numId w:val="1"/>
        </w:numPr>
        <w:spacing w:after="0"/>
        <w:ind w:left="0" w:hanging="566"/>
      </w:pPr>
      <w:r>
        <w:rPr>
          <w:rtl w:val="0"/>
        </w:rPr>
        <w:t>Sobre ese segundo documento, pericias posteriores de la Dirección Nacional de Policía Científica determinaron que presentaba elementos compatibles con una posible fotocomposición realizada a partir del documento original, mediante el recorte y montaje digital de sus componentes para generar un nuevo instrumento. Esta conclusión fue ratificada por un segundo análisis informático. Con posterioridad, el 22 de octubre de 2025, se presentó una tercera "renovación" de garantía igualmente cuestionada.</w:t>
      </w:r>
    </w:p>
    <w:p w14:paraId="000001B0">
      <w:pPr>
        <w:numPr>
          <w:ilvl w:val="0"/>
          <w:numId w:val="1"/>
        </w:numPr>
        <w:spacing w:after="0"/>
        <w:ind w:left="0" w:hanging="566"/>
      </w:pPr>
      <w:r>
        <w:rPr>
          <w:rtl w:val="0"/>
        </w:rPr>
        <w:t>A esta secuencia corresponde agregar la conducta procesal de la empresa una vez expuesto el fraude. Por un lado, Cardama promovió ante la Justicia uruguaya una instancia de conciliación previa en la que reclamó el cumplimiento íntegro del contrato y el mantenimiento de su ecuación económica, pretensión de la que desistió apenas se anunció la rescisión, cuando ya no le resultaba conveniente. Por otro lado, promovió un arbitraje internacional ante la Cámara de Comercio Internacional en París, en un intento de sustraer la controversia de los tribunales de Montevideo, pese a que el propio contrato establece expresamente que cualquier disputa sobre su interpretación, aplicación o ejecución, salvo cuestiones estrictamente técnicas de construcción naval, debe resolverse ante la Justicia uruguaya.</w:t>
      </w:r>
    </w:p>
    <w:p w14:paraId="000001B1">
      <w:pPr>
        <w:numPr>
          <w:ilvl w:val="0"/>
          <w:numId w:val="1"/>
        </w:numPr>
        <w:spacing w:after="0"/>
        <w:ind w:left="0" w:hanging="566"/>
      </w:pPr>
      <w:r>
        <w:rPr>
          <w:rtl w:val="0"/>
        </w:rPr>
        <w:t>La conducta de Francisco Cardama S.A. debe ser valorada en su conjunto. No se trató de un incumplimiento aislado, sino de una actuación sostenida que fue agravándose a medida que avanzaba la ejecución contractual. Cardama sostuvo durante meses la apariencia de cumplimiento de obligaciones que no había logrado satisfacer, presentó documentación falsa para acreditar condiciones indispensables para la vigencia del contrato y, cuando las irregularidades comenzaron a ser descubiertas, aportó nueva documentación cuya autenticidad resultó igualmente cuestionada. Lo que existió fue una conducta sostenida de mala fe frente al Estado uruguayo, que comprometió recursos públicos, puso en riesgo una adquisición estratégica para la Defensa Nacional y lesionó la confianza que debe existir en cualquier vínculo contractual con nuestro país.</w:t>
      </w:r>
    </w:p>
    <w:p w14:paraId="000001B2">
      <w:pPr>
        <w:numPr>
          <w:ilvl w:val="0"/>
          <w:numId w:val="1"/>
        </w:numPr>
        <w:shd w:val="clear" w:fill="FFFFFF"/>
        <w:spacing w:after="60"/>
        <w:ind w:left="0" w:hanging="566"/>
      </w:pPr>
      <w:r>
        <w:rPr>
          <w:rtl w:val="0"/>
        </w:rPr>
        <w:t xml:space="preserve">A todo esto, se suma la decisión de CARDAMA de adelantar unilateralmente la “Puesta de la Quilla” del C-251 a diciembre de 2025, aproximadamente seis meses antes de la fecha que se desprendía del calendario contractual. Se trató de un acto desesperado y carente de sustento material y financiero, realizado a sabiendas de que los motores no llegarían en los plazos previstos y mientras el proceso administrativo aún se encontraba en trámite. La gravedad de esta actuación queda aún más de manifiesto a partir de la constatación realizada por Bureau Veritas, cuyo informe pericial señala que la quilla se encontraba dada vuelta. </w:t>
      </w:r>
    </w:p>
    <w:p w14:paraId="000001B3">
      <w:pPr>
        <w:numPr>
          <w:ilvl w:val="0"/>
          <w:numId w:val="1"/>
        </w:numPr>
        <w:ind w:left="0" w:hanging="566"/>
      </w:pPr>
      <w:r>
        <w:rPr>
          <w:rtl w:val="0"/>
        </w:rPr>
        <w:t>Esa conducta fue posible porque encontró, del lado del Estado, funcionarios que otorgaron prórrogas sin fundamento, aceptaron garantías sin controlar su autenticidad, no activaron los mecanismos contractuales disponibles y autorizaron pagos sin los respaldos exigidos. Sin esa cadena de omisiones y decisiones contrarias al interés público, el fraude de Cardama no hubiera podido consumarse en los términos en que ocurrió.</w:t>
      </w:r>
    </w:p>
    <w:p w14:paraId="000001B4">
      <w:pPr>
        <w:pStyle w:val="3"/>
        <w:rPr>
          <w:u w:val="none"/>
        </w:rPr>
      </w:pPr>
      <w:bookmarkStart w:id="31" w:name="_heading=h.lrx6ak910qhh" w:colFirst="0" w:colLast="0"/>
      <w:bookmarkEnd w:id="31"/>
      <w:r>
        <w:rPr>
          <w:u w:val="none"/>
          <w:rtl w:val="0"/>
        </w:rPr>
        <w:t>D. LA ACTUACIÓN DEL ACTUAL GOBIERNO PERMITIÓ DETECTAR LAS IRREGULARIDADES Y ADOPTAR LAS MEDIDAS NECESARIAS PARA PROTEGER AL ESTADO</w:t>
      </w:r>
    </w:p>
    <w:p w14:paraId="000001B5">
      <w:pPr>
        <w:numPr>
          <w:ilvl w:val="0"/>
          <w:numId w:val="1"/>
        </w:numPr>
        <w:ind w:left="0" w:hanging="566"/>
      </w:pPr>
      <w:r>
        <w:rPr>
          <w:rtl w:val="0"/>
        </w:rPr>
        <w:t>La Comisión también debe valorar la actuación desarrollada desde marzo de 2025, con el mismo criterio con que analiza las decisiones de la administración anterior. La Ministra Sandra Lazo asumió el Ministerio de Defensa Nacional el 1 de marzo de 2025. Durante su gestión se efectuó, en junio de 2025, el pago correspondiente al Hito C, por € 12.340.500, cuando las irregularidades documentales aún no habían sido detectadas.</w:t>
      </w:r>
    </w:p>
    <w:p w14:paraId="000001B6">
      <w:pPr>
        <w:numPr>
          <w:ilvl w:val="0"/>
          <w:numId w:val="1"/>
        </w:numPr>
        <w:ind w:left="0" w:hanging="566"/>
      </w:pPr>
      <w:r>
        <w:rPr>
          <w:rtl w:val="0"/>
        </w:rPr>
        <w:t>Ese fue el único desembolso realizado durante la actual administración y no respondió a una nueva decisión política de avanzar con el contrato, sino a la ejecución de un mecanismo financiero que había quedado configurado antes del cambio de gobierno. La carta de crédito irrevocable y confirmada había sido abierta el 12 de febrero de 2025, apenas dos semanas antes del cambio de gobierno y, conforme explicó la Ministra ante esta Comisión, para los hitos posteriores reducía sustancialmente la posibilidad de la Administración de impedir el pago una vez presentada la documentación exigida por el crédito documentario (VT del 3 de agosto de 2026, págs. 25 y 26).</w:t>
      </w:r>
    </w:p>
    <w:p w14:paraId="000001B7">
      <w:pPr>
        <w:numPr>
          <w:ilvl w:val="0"/>
          <w:numId w:val="1"/>
        </w:numPr>
        <w:ind w:left="0" w:hanging="566"/>
      </w:pPr>
      <w:r>
        <w:rPr>
          <w:rtl w:val="0"/>
        </w:rPr>
        <w:t>En octubre de 2025, al intentar ejecutar la garantía de Eurocommerce ante la falta de renovación, la actual administración constató que la entidad no operaba en el domicilio declarado. A partir de ese hallazgo dispuso las pericias que confirmaron la falsedad de la documentación, promovió y amplió la denuncia penal, impulsó la rescisión del contrato por incumplimiento grave de CARDAMA e inició las acciones destinadas a recuperar los montos desembolsados y reclamar los daños ocasionados al Estado.</w:t>
      </w:r>
    </w:p>
    <w:p w14:paraId="000001B8">
      <w:pPr>
        <w:numPr>
          <w:ilvl w:val="0"/>
          <w:numId w:val="1"/>
        </w:numPr>
        <w:ind w:left="0" w:hanging="566"/>
      </w:pPr>
      <w:r>
        <w:rPr>
          <w:rtl w:val="0"/>
        </w:rPr>
        <w:t>La rescisión permitió, además, detener la ejecución económica del contrato y evitar nuevos pagos por € 53.475.500, correspondientes a la diferencia entre los € 82.270.000 comprometidos y los € 28.794.500 ya desembolsados. Frente a estos incumplimientos graves, la actual administración adoptó la decisión que correspondía para impedir que el perjuicio al Estado continuara aumentando.</w:t>
      </w:r>
    </w:p>
    <w:p w14:paraId="000001B9">
      <w:pPr>
        <w:numPr>
          <w:ilvl w:val="0"/>
          <w:numId w:val="1"/>
        </w:numPr>
        <w:ind w:left="0" w:hanging="566"/>
      </w:pPr>
      <w:r>
        <w:rPr>
          <w:rtl w:val="0"/>
        </w:rPr>
        <w:t xml:space="preserve">La actuación posterior demuestra que el Estado disponía de mecanismos jurídicos e institucionales para detectar las irregularidades y actuar frente a los incumplimientos. </w:t>
      </w:r>
    </w:p>
    <w:p w14:paraId="000001BA">
      <w:pPr>
        <w:pStyle w:val="3"/>
        <w:rPr>
          <w:u w:val="none"/>
        </w:rPr>
      </w:pPr>
      <w:bookmarkStart w:id="32" w:name="_heading=h.63ocsmbqxgry" w:colFirst="0" w:colLast="0"/>
      <w:bookmarkEnd w:id="32"/>
      <w:r>
        <w:rPr>
          <w:u w:val="none"/>
          <w:rtl w:val="0"/>
        </w:rPr>
        <w:t>E. SOBRE LAS ACTUACIONES POSTERIORES AL 1º DE MARZO DE 2025</w:t>
      </w:r>
    </w:p>
    <w:p w14:paraId="000001BB">
      <w:pPr>
        <w:numPr>
          <w:ilvl w:val="0"/>
          <w:numId w:val="1"/>
        </w:numPr>
        <w:ind w:left="0" w:hanging="566"/>
      </w:pPr>
      <w:r>
        <w:rPr>
          <w:rtl w:val="0"/>
        </w:rPr>
        <w:t>Los hechos posteriores al cambio de gobierno dan cuenta de que se profundizaron los controles sobre la ejecución contractual, se promovieron inspecciones y verificaciones, se dispusieron pericias sobre la documentación presentada, se desarrollaron investigaciones administrativas y se reforzó el seguimiento de la construcción de los buques. Determinados pagos efectuados durante este período respondieron al mecanismo de carta de crédito irrevocable establecido en el propio contrato y a hitos que habían sido aprobados previamente por la administración saliente.</w:t>
      </w:r>
    </w:p>
    <w:p w14:paraId="000001BC">
      <w:pPr>
        <w:numPr>
          <w:ilvl w:val="0"/>
          <w:numId w:val="1"/>
        </w:numPr>
        <w:spacing w:after="0"/>
        <w:ind w:left="0" w:hanging="566"/>
      </w:pPr>
      <w:r>
        <w:rPr>
          <w:rtl w:val="0"/>
        </w:rPr>
        <w:t>Una vez constatadas las irregularidades, el Poder Ejecutivo procedió a intentar la ejecución de las garantías, formuló la correspondiente denuncia penal, amplió esa denuncia a medida que surgieron nuevos elementos, otorgó vista a la empresa y resolvió rescindir el contrato.</w:t>
      </w:r>
    </w:p>
    <w:p w14:paraId="000001BD">
      <w:pPr>
        <w:numPr>
          <w:ilvl w:val="0"/>
          <w:numId w:val="1"/>
        </w:numPr>
        <w:ind w:left="0" w:hanging="566"/>
      </w:pPr>
      <w:r>
        <w:rPr>
          <w:rtl w:val="0"/>
        </w:rPr>
        <w:t>Estas actuaciones demuestran que el Estado contaba con mecanismos institucionales y jurídicos para detectar irregularidades y actuar frente al incumplimiento. Resultan asimismo relevantes para valorar las responsabilidades correspondientes a cada período: lo que no hizo la administración saliente durante más de un año de incumplimientos, la administración entrante lo hizo en cuestión de meses.</w:t>
      </w:r>
    </w:p>
    <w:p w14:paraId="000001BE">
      <w:pPr>
        <w:pStyle w:val="3"/>
        <w:keepNext w:val="0"/>
        <w:keepLines w:val="0"/>
        <w:jc w:val="center"/>
        <w:rPr>
          <w:u w:val="single"/>
        </w:rPr>
      </w:pPr>
      <w:bookmarkStart w:id="33" w:name="_heading=h.6q79pq8ieefx" w:colFirst="0" w:colLast="0"/>
      <w:bookmarkEnd w:id="33"/>
      <w:r>
        <w:rPr>
          <w:rtl w:val="0"/>
        </w:rPr>
        <w:t>VII</w:t>
      </w:r>
      <w:r>
        <w:rPr>
          <w:u w:val="single"/>
          <w:rtl w:val="0"/>
        </w:rPr>
        <w:t xml:space="preserve">. HECHOS </w:t>
      </w:r>
      <w:r>
        <w:rPr>
          <w:rtl w:val="0"/>
        </w:rPr>
        <w:t>CON APARIENCIA DELICTIVA</w:t>
      </w:r>
    </w:p>
    <w:p w14:paraId="000001BF">
      <w:pPr>
        <w:pStyle w:val="3"/>
        <w:keepNext w:val="0"/>
        <w:keepLines w:val="0"/>
        <w:rPr>
          <w:u w:val="none"/>
        </w:rPr>
      </w:pPr>
      <w:bookmarkStart w:id="34" w:name="_heading=h.5g4pld6gl4rd" w:colFirst="0" w:colLast="0"/>
      <w:bookmarkEnd w:id="34"/>
      <w:r>
        <w:rPr>
          <w:u w:val="none"/>
          <w:rtl w:val="0"/>
        </w:rPr>
        <w:t>A. ALCANCE DE LA VALORACIÓN DE LA COMISIÓN</w:t>
      </w:r>
    </w:p>
    <w:p w14:paraId="000001C0">
      <w:pPr>
        <w:numPr>
          <w:ilvl w:val="0"/>
          <w:numId w:val="1"/>
        </w:numPr>
        <w:ind w:left="0" w:hanging="566"/>
      </w:pPr>
      <w:r>
        <w:rPr>
          <w:rtl w:val="0"/>
        </w:rPr>
        <w:t>Esta Comisión no es un órgano jurisdiccional y no le corresponde tipificar delitos ni atribuir responsabilidades penales. Esa función corresponde al Ministerio Público y al Poder Judicial. La investigación penal sobre algunos de los hechos objeto de este informe se encuentra actualmente en curso.</w:t>
      </w:r>
    </w:p>
    <w:p w14:paraId="000001C1">
      <w:pPr>
        <w:numPr>
          <w:ilvl w:val="0"/>
          <w:numId w:val="1"/>
        </w:numPr>
        <w:ind w:left="0" w:hanging="566"/>
      </w:pPr>
      <w:r>
        <w:rPr>
          <w:rtl w:val="0"/>
        </w:rPr>
        <w:t>Sin perjuicio de ello, el cumplimiento de su cometido de investigar y analizar los hechos obliga a señalar aquellas actuaciones que, por su naturaleza y gravedad, presentan elementos que justifican su examen en sede penal, y a poner a disposición de la Fiscalía la totalidad de los antecedentes reunidos.</w:t>
      </w:r>
    </w:p>
    <w:p w14:paraId="000001C2">
      <w:pPr>
        <w:pStyle w:val="3"/>
        <w:keepNext w:val="0"/>
        <w:keepLines w:val="0"/>
        <w:rPr>
          <w:u w:val="none"/>
        </w:rPr>
      </w:pPr>
      <w:bookmarkStart w:id="35" w:name="_heading=h.v8gpaacwnudj" w:colFirst="0" w:colLast="0"/>
      <w:bookmarkEnd w:id="35"/>
      <w:r>
        <w:rPr>
          <w:u w:val="none"/>
          <w:rtl w:val="0"/>
        </w:rPr>
        <w:t>B. SOBRE LA FALSIFICACIÓN Y UTILIZACIÓN DE DOCUMENTACIÓN FALSA</w:t>
      </w:r>
    </w:p>
    <w:p w14:paraId="000001C3">
      <w:pPr>
        <w:numPr>
          <w:ilvl w:val="0"/>
          <w:numId w:val="1"/>
        </w:numPr>
        <w:ind w:left="0" w:hanging="566"/>
      </w:pPr>
      <w:r>
        <w:rPr>
          <w:rtl w:val="0"/>
        </w:rPr>
        <w:t>Está acreditado por pericia notarial del notario español Ignacio Martínez-Gil Vich, por pericia de la Policía Técnica del Ministerio del Interior, por la denuncia del propio notario Luis Calabuig de Leyva y por el reconocimiento de todos los actores, incluida la propia empresa al evacuar las vistas, que:</w:t>
      </w:r>
    </w:p>
    <w:p w14:paraId="000001C4">
      <w:r>
        <w:rPr>
          <w:rtl w:val="0"/>
        </w:rPr>
        <w:t>(i) el acta notarial presentada por Francisco Cardama S.A. para acreditar la representación de Eurocommerce Ltd. fue falsificada, reutilizando la firma y apostilla auténticas de un documento distinto;</w:t>
      </w:r>
    </w:p>
    <w:p w14:paraId="000001C5">
      <w:r>
        <w:rPr>
          <w:rtl w:val="0"/>
        </w:rPr>
        <w:t>(ii) la entidad garante Eurocommerce Ltd. era inexistente como operadora activa, con domicilio falso y en proceso de disolución registral desde mucho antes de la emisión de los documentos presentados al Estado uruguayo;</w:t>
      </w:r>
    </w:p>
    <w:p w14:paraId="000001C6">
      <w:r>
        <w:rPr>
          <w:rtl w:val="0"/>
        </w:rPr>
        <w:t>(iii) el documento presentado como garantía de reembolso de Redbridge Insurance Company Ltd. era un borrador sin eficacia jurídica, distinto de la póliza contractual real; y</w:t>
      </w:r>
    </w:p>
    <w:p w14:paraId="000001C7">
      <w:r>
        <w:rPr>
          <w:rtl w:val="0"/>
        </w:rPr>
        <w:t>(iv) el documento presentado el mismo día del intento de ejecución de la garantía como supuesta "renovación" presentó elementos compatibles con fotocomposición digital, conclusión ratificada por un segundo peritaje, y una tercera "renovación" presentada el 22 de octubre de 2025 resultó igualmente cuestionada.</w:t>
      </w:r>
    </w:p>
    <w:p w14:paraId="000001C8">
      <w:pPr>
        <w:numPr>
          <w:ilvl w:val="0"/>
          <w:numId w:val="1"/>
        </w:numPr>
        <w:ind w:left="0" w:hanging="566"/>
      </w:pPr>
      <w:r>
        <w:rPr>
          <w:rtl w:val="0"/>
        </w:rPr>
        <w:t>Estos hechos presentan apariencia de los delitos de falsificación o alteración de documento público y de uso de documento público o privado falso previstos en los artículos 236 y siguientes del Código Penal. Fueron además el instrumento directo para obtener del Estado uruguayo desembolsos por más de €16.000.000 durante la administración anterior, a los que se sumó el pago del Hito C bajo el mecanismo bancario irrevocable, lo que configura la apariencia del delito de estafa previsto en el artículo 347 del Código Penal, en su caso agravada, en perjuicio del Estado.</w:t>
      </w:r>
    </w:p>
    <w:p w14:paraId="000001C9">
      <w:pPr>
        <w:pStyle w:val="3"/>
        <w:keepNext w:val="0"/>
        <w:keepLines w:val="0"/>
        <w:rPr>
          <w:u w:val="none"/>
        </w:rPr>
      </w:pPr>
      <w:bookmarkStart w:id="36" w:name="_heading=h.ql20zn8t436z" w:colFirst="0" w:colLast="0"/>
      <w:bookmarkEnd w:id="36"/>
      <w:r>
        <w:rPr>
          <w:u w:val="none"/>
          <w:rtl w:val="0"/>
        </w:rPr>
        <w:t>C. SOBRE LA CONDUCTA DE LOS FUNCIONARIOS PÚBLICOS INTERVINIENTES</w:t>
      </w:r>
    </w:p>
    <w:p w14:paraId="000001CA">
      <w:pPr>
        <w:numPr>
          <w:ilvl w:val="0"/>
          <w:numId w:val="1"/>
        </w:numPr>
        <w:ind w:left="0" w:hanging="566"/>
      </w:pPr>
      <w:r>
        <w:rPr>
          <w:rtl w:val="0"/>
        </w:rPr>
        <w:t>Francisco Cardama S.A. es el principal responsable de las maniobras descriptas. Sin embargo, la consumación del fraude y la magnitud del daño causado al patrimonio público no hubieran sido posibles sin la intervención de funcionarios públicos que, mediante decisiones activas u omisiones en el ejercicio de sus cargos, permitieron que la situación se desarrollara en los términos en que lo hizo. La eventual determinación de si esa intervención fue concertada con la empresa o constituyó una negligencia grave en el cumplimiento de deberes esenciales corresponde establecerla a la Justicia Penal.</w:t>
      </w:r>
    </w:p>
    <w:p w14:paraId="000001CB">
      <w:pPr>
        <w:numPr>
          <w:ilvl w:val="0"/>
          <w:numId w:val="1"/>
        </w:numPr>
        <w:spacing w:after="0"/>
        <w:ind w:left="0" w:hanging="566"/>
      </w:pPr>
      <w:r>
        <w:rPr>
          <w:rtl w:val="0"/>
        </w:rPr>
        <w:t>Sin perjuicio de lo que resulte de la investigación penal, los hechos acreditados justifican que la Fiscalía examine si las conductas de los jerarcas y funcionarios que actuaron en determinados momentos del proceso encuadran en figuras penales aplicables.</w:t>
      </w:r>
    </w:p>
    <w:p w14:paraId="000001CC">
      <w:pPr>
        <w:numPr>
          <w:ilvl w:val="0"/>
          <w:numId w:val="1"/>
        </w:numPr>
        <w:ind w:left="0" w:hanging="566"/>
      </w:pPr>
      <w:r>
        <w:rPr>
          <w:rtl w:val="0"/>
        </w:rPr>
        <w:t>En particular, corresponde examinar:</w:t>
      </w:r>
    </w:p>
    <w:p w14:paraId="000001CD">
      <w:r>
        <w:rPr>
          <w:rtl w:val="0"/>
        </w:rPr>
        <w:t>(i) la conducción de un procedimiento de contratación sin bases, sin fundamentación suficiente y con trato preferente a un oferente, en los términos severamente observados por la División Jurídica del Tribunal de Cuentas;</w:t>
      </w:r>
    </w:p>
    <w:p w14:paraId="000001CE">
      <w:r>
        <w:rPr>
          <w:rtl w:val="0"/>
        </w:rPr>
        <w:t>(ii) el otorgamiento de prórrogas por mandato verbal, la omisión de cursar la declaración de no entrada en vigor del contrato cuando los plazos estaban largamente vencidos y la aceptación de garantías sin control alguno de autenticidad o solvencia, conductas que posibilitaron el fraude;</w:t>
      </w:r>
    </w:p>
    <w:p w14:paraId="000001CF">
      <w:r>
        <w:rPr>
          <w:rtl w:val="0"/>
        </w:rPr>
        <w:t>(iii) la certificación mediante nota oficial, emitida en dos versiones con fechas incompatibles y con texto dictado por el propio contratista, del cumplimiento de un hito de pago cuya documentación no había sido controlada en debida forma;</w:t>
      </w:r>
    </w:p>
    <w:p w14:paraId="000001D0">
      <w:r>
        <w:rPr>
          <w:rtl w:val="0"/>
        </w:rPr>
        <w:t>(iv) la autorización de pagos invocando análisis y coordinaciones cuya existencia no surge del expediente administrativo y sin contar con la documentación contractualmente necesaria; y</w:t>
      </w:r>
    </w:p>
    <w:p w14:paraId="000001D1">
      <w:r>
        <w:rPr>
          <w:rtl w:val="0"/>
        </w:rPr>
        <w:t>(v) la ausencia sistemática de actos administrativos escritos, resoluciones fundadas y registros de decisiones esenciales para la protección de recursos públicos.</w:t>
      </w:r>
    </w:p>
    <w:p w14:paraId="000001D2">
      <w:pPr>
        <w:numPr>
          <w:ilvl w:val="0"/>
          <w:numId w:val="1"/>
        </w:numPr>
        <w:ind w:left="0" w:hanging="566"/>
      </w:pPr>
      <w:r>
        <w:rPr>
          <w:rtl w:val="0"/>
        </w:rPr>
        <w:t>Estas conductas deberán ser examinadas por los órganos competentes a efectos de determinar si alguna de ellas puede encuadrar en figuras tales como el abuso de funciones en casos no previstos especialmente por la ley (artículo 162 del Código Penal), la omisión contumacial de los deberes del cargo (artículo 164 del Código Penal), la falsificación ideológica por funcionario público (artículo 238 del Código Penal) u otras que el titular de la acción penal estime configuradas.</w:t>
      </w:r>
    </w:p>
    <w:p w14:paraId="000001D3">
      <w:pPr>
        <w:numPr>
          <w:ilvl w:val="0"/>
          <w:numId w:val="1"/>
        </w:numPr>
        <w:ind w:left="0" w:hanging="566"/>
      </w:pPr>
      <w:r>
        <w:rPr>
          <w:rtl w:val="0"/>
        </w:rPr>
        <w:t>Esta Comisión no realiza una atribución penal individual ni afirma que esas figuras se encuentren configuradas. Señala, sin embargo, que la entidad de los hechos acreditados justifica plenamente su investigación en sede penal.</w:t>
      </w:r>
    </w:p>
    <w:p w14:paraId="000001D4">
      <w:pPr>
        <w:pStyle w:val="3"/>
        <w:keepNext w:val="0"/>
        <w:keepLines w:val="0"/>
      </w:pPr>
      <w:bookmarkStart w:id="37" w:name="_heading=h.mtphavpo9og4" w:colFirst="0" w:colLast="0"/>
      <w:bookmarkEnd w:id="37"/>
      <w:r>
        <w:rPr>
          <w:rtl w:val="0"/>
        </w:rPr>
        <w:t>En mérito a todo lo expuesto, la Comisión, en mayoría, a la Asamblea General aconseja aprobar el proyecto de resolución que se acompaña.-</w:t>
      </w:r>
    </w:p>
    <w:p w14:paraId="000001D5">
      <w:pPr>
        <w:jc w:val="right"/>
      </w:pPr>
      <w:r>
        <w:rPr>
          <w:rtl w:val="0"/>
        </w:rPr>
        <w:t>Sala de Comisiones, 21 de agosto de 2026.-</w:t>
      </w:r>
    </w:p>
    <w:p w14:paraId="000001D6"/>
    <w:p w14:paraId="000001D7"/>
    <w:p w14:paraId="000001D8"/>
    <w:p w14:paraId="000001D9"/>
    <w:p w14:paraId="000001DA"/>
    <w:p w14:paraId="000001DF">
      <w:pPr>
        <w:numPr>
          <w:numId w:val="0"/>
        </w:numPr>
        <w:spacing w:before="0" w:beforeAutospacing="0"/>
        <w:rPr>
          <w:u w:val="none"/>
        </w:rPr>
      </w:pPr>
      <w:bookmarkStart w:id="38" w:name="_GoBack"/>
      <w:bookmarkEnd w:id="38"/>
    </w:p>
    <w:sectPr>
      <w:footerReference r:id="rId5" w:type="default"/>
      <w:pgSz w:w="11909" w:h="16834"/>
      <w:pgMar w:top="1440" w:right="1711" w:bottom="1440" w:left="170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embedRegular r:id="rId1" w:fontKey="{8299D269-8B94-48A8-9AEE-5340654B768E}"/>
  </w:font>
  <w:font w:name="Courier New">
    <w:panose1 w:val="02070309020205020404"/>
    <w:charset w:val="00"/>
    <w:family w:val="modern"/>
    <w:pitch w:val="default"/>
    <w:sig w:usb0="E0002EFF" w:usb1="C0007843" w:usb2="00000009" w:usb3="00000000" w:csb0="400001FF" w:csb1="FFFF0000"/>
    <w:embedRegular r:id="rId2" w:fontKey="{09949F78-3781-49FB-95A9-91EBB1EC1F34}"/>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embedRegular r:id="rId3" w:fontKey="{4F2B52B6-6516-4BA3-BE60-C2B9EEA3B5F6}"/>
  </w:font>
  <w:font w:name="Calibri">
    <w:panose1 w:val="020F0502020204030204"/>
    <w:charset w:val="00"/>
    <w:family w:val="swiss"/>
    <w:pitch w:val="default"/>
    <w:sig w:usb0="E4002EFF" w:usb1="C000247B" w:usb2="00000009" w:usb3="00000000" w:csb0="200001FF" w:csb1="00000000"/>
    <w:embedRegular r:id="rId4" w:fontKey="{75A8CDFC-EE84-4D2C-9FDB-0969D762C2A4}"/>
  </w:font>
  <w:font w:name="Segoe UI">
    <w:panose1 w:val="020B0502040204020203"/>
    <w:charset w:val="00"/>
    <w:family w:val="auto"/>
    <w:pitch w:val="default"/>
    <w:sig w:usb0="E4002EFF" w:usb1="C000E47F" w:usb2="00000009" w:usb3="00000000" w:csb0="200001FF" w:csb1="00000000"/>
    <w:embedRegular r:id="rId5" w:fontKey="{29DFE7E8-3DBE-4537-841F-8385ACB172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E0">
    <w:pPr>
      <w:jc w:val="right"/>
      <w:rPr>
        <w:rFonts w:ascii="Times New Roman" w:hAnsi="Times New Roman" w:eastAsia="Times New Roman" w:cs="Times New Roman"/>
        <w:sz w:val="16"/>
        <w:szCs w:val="16"/>
      </w:rPr>
    </w:pPr>
    <w:r>
      <w:rPr>
        <w:rFonts w:ascii="Times New Roman" w:hAnsi="Times New Roman" w:eastAsia="Times New Roman" w:cs="Times New Roman"/>
        <w:sz w:val="16"/>
        <w:szCs w:val="16"/>
      </w:rPr>
      <w:fldChar w:fldCharType="begin"/>
    </w:r>
    <w:r>
      <w:rPr>
        <w:rFonts w:ascii="Times New Roman" w:hAnsi="Times New Roman" w:eastAsia="Times New Roman" w:cs="Times New Roman"/>
        <w:sz w:val="16"/>
        <w:szCs w:val="16"/>
      </w:rPr>
      <w:instrText xml:space="preserve">PAGE</w:instrText>
    </w:r>
    <w:r>
      <w:rPr>
        <w:rFonts w:ascii="Times New Roman" w:hAnsi="Times New Roman" w:eastAsia="Times New Roman" w:cs="Times New Roman"/>
        <w:sz w:val="16"/>
        <w:szCs w:val="16"/>
      </w:rPr>
      <w:fldChar w:fldCharType="separate"/>
    </w:r>
    <w:r>
      <w:rPr>
        <w:rFonts w:ascii="Times New Roman" w:hAnsi="Times New Roman" w:eastAsia="Times New Roman" w:cs="Times New Roma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BF205925"/>
    <w:multiLevelType w:val="multilevel"/>
    <w:tmpl w:val="BF205925"/>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CF092B84"/>
    <w:multiLevelType w:val="multilevel"/>
    <w:tmpl w:val="CF092B84"/>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0053208E"/>
    <w:multiLevelType w:val="multilevel"/>
    <w:tmpl w:val="0053208E"/>
    <w:lvl w:ilvl="0" w:tentative="0">
      <w:start w:val="1"/>
      <w:numFmt w:val="decimal"/>
      <w:lvlText w:val="%1."/>
      <w:lvlJc w:val="left"/>
      <w:pPr>
        <w:ind w:left="0" w:hanging="566"/>
      </w:pPr>
      <w:rPr>
        <w:sz w:val="20"/>
        <w:szCs w:val="20"/>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4">
    <w:nsid w:val="03D62ECE"/>
    <w:multiLevelType w:val="multilevel"/>
    <w:tmpl w:val="03D62EC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5">
    <w:nsid w:val="25B654F3"/>
    <w:multiLevelType w:val="multilevel"/>
    <w:tmpl w:val="25B654F3"/>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6">
    <w:nsid w:val="59ADCABA"/>
    <w:multiLevelType w:val="multilevel"/>
    <w:tmpl w:val="59ADCABA"/>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7">
    <w:nsid w:val="72183CF9"/>
    <w:multiLevelType w:val="multilevel"/>
    <w:tmpl w:val="72183CF9"/>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178E4D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iPriority="99"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iPriority="99"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before="200" w:after="200" w:line="360" w:lineRule="auto"/>
      <w:jc w:val="both"/>
    </w:pPr>
    <w:rPr>
      <w:rFonts w:ascii="Arial" w:hAnsi="Arial" w:eastAsia="Arial" w:cs="Arial"/>
      <w:sz w:val="24"/>
      <w:szCs w:val="24"/>
      <w:lang w:val="es"/>
    </w:rPr>
  </w:style>
  <w:style w:type="paragraph" w:styleId="2">
    <w:name w:val="heading 1"/>
    <w:basedOn w:val="1"/>
    <w:next w:val="1"/>
    <w:uiPriority w:val="0"/>
    <w:pPr>
      <w:keepNext/>
      <w:keepLines/>
      <w:spacing w:before="400" w:after="120"/>
      <w:jc w:val="center"/>
    </w:pPr>
    <w:rPr>
      <w:b/>
      <w:bCs/>
    </w:rPr>
  </w:style>
  <w:style w:type="paragraph" w:styleId="3">
    <w:name w:val="heading 2"/>
    <w:basedOn w:val="1"/>
    <w:next w:val="1"/>
    <w:uiPriority w:val="0"/>
    <w:pPr>
      <w:keepNext/>
      <w:keepLines/>
    </w:pPr>
    <w:rPr>
      <w:b/>
      <w:bCs/>
      <w:u w:val="single"/>
    </w:rPr>
  </w:style>
  <w:style w:type="paragraph" w:styleId="4">
    <w:name w:val="heading 3"/>
    <w:basedOn w:val="1"/>
    <w:next w:val="1"/>
    <w:uiPriority w:val="0"/>
    <w:pPr>
      <w:keepNext/>
      <w:keepLines/>
      <w:spacing w:before="320" w:after="80"/>
    </w:pPr>
    <w:rPr>
      <w:color w:val="434343"/>
      <w:sz w:val="28"/>
      <w:szCs w:val="28"/>
    </w:rPr>
  </w:style>
  <w:style w:type="paragraph" w:styleId="5">
    <w:name w:val="heading 4"/>
    <w:basedOn w:val="1"/>
    <w:next w:val="1"/>
    <w:uiPriority w:val="0"/>
    <w:pPr>
      <w:keepNext/>
      <w:keepLines/>
      <w:spacing w:before="280" w:after="80"/>
    </w:pPr>
    <w:rPr>
      <w:color w:val="666666"/>
    </w:rPr>
  </w:style>
  <w:style w:type="paragraph" w:styleId="6">
    <w:name w:val="heading 5"/>
    <w:basedOn w:val="1"/>
    <w:next w:val="1"/>
    <w:uiPriority w:val="0"/>
    <w:pPr>
      <w:keepNext/>
      <w:keepLines/>
      <w:spacing w:before="240" w:after="80"/>
    </w:pPr>
    <w:rPr>
      <w:color w:val="666666"/>
      <w:sz w:val="22"/>
      <w:szCs w:val="22"/>
    </w:rPr>
  </w:style>
  <w:style w:type="paragraph" w:styleId="7">
    <w:name w:val="heading 6"/>
    <w:basedOn w:val="1"/>
    <w:next w:val="1"/>
    <w:uiPriority w:val="0"/>
    <w:pPr>
      <w:keepNext/>
      <w:keepLines/>
      <w:spacing w:before="240" w:after="80"/>
    </w:pPr>
    <w:rPr>
      <w:i/>
      <w:iCs/>
      <w:color w:val="666666"/>
      <w:sz w:val="22"/>
      <w:szCs w:val="22"/>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annotation reference"/>
    <w:basedOn w:val="8"/>
    <w:semiHidden/>
    <w:unhideWhenUsed/>
    <w:uiPriority w:val="99"/>
    <w:rPr>
      <w:sz w:val="16"/>
      <w:szCs w:val="16"/>
    </w:rPr>
  </w:style>
  <w:style w:type="character" w:styleId="11">
    <w:name w:val="Hyperlink"/>
    <w:basedOn w:val="8"/>
    <w:unhideWhenUsed/>
    <w:qFormat/>
    <w:uiPriority w:val="99"/>
    <w:rPr>
      <w:color w:val="0000FF" w:themeColor="hyperlink"/>
      <w:u w:val="single"/>
      <w14:textFill>
        <w14:solidFill>
          <w14:schemeClr w14:val="hlink"/>
        </w14:solidFill>
      </w14:textFill>
    </w:rPr>
  </w:style>
  <w:style w:type="paragraph" w:styleId="12">
    <w:name w:val="Balloon Text"/>
    <w:basedOn w:val="1"/>
    <w:link w:val="22"/>
    <w:semiHidden/>
    <w:unhideWhenUsed/>
    <w:uiPriority w:val="99"/>
    <w:pPr>
      <w:spacing w:before="0" w:after="0" w:line="240" w:lineRule="auto"/>
    </w:pPr>
    <w:rPr>
      <w:rFonts w:ascii="Segoe UI" w:hAnsi="Segoe UI" w:cs="Segoe UI"/>
      <w:sz w:val="18"/>
      <w:szCs w:val="18"/>
    </w:rPr>
  </w:style>
  <w:style w:type="paragraph" w:styleId="13">
    <w:name w:val="annotation text"/>
    <w:basedOn w:val="1"/>
    <w:link w:val="21"/>
    <w:semiHidden/>
    <w:unhideWhenUsed/>
    <w:uiPriority w:val="99"/>
    <w:pPr>
      <w:spacing w:line="240" w:lineRule="auto"/>
    </w:pPr>
    <w:rPr>
      <w:sz w:val="20"/>
      <w:szCs w:val="20"/>
    </w:rPr>
  </w:style>
  <w:style w:type="paragraph" w:styleId="14">
    <w:name w:val="header"/>
    <w:basedOn w:val="1"/>
    <w:link w:val="23"/>
    <w:unhideWhenUsed/>
    <w:uiPriority w:val="99"/>
    <w:pPr>
      <w:tabs>
        <w:tab w:val="center" w:pos="4252"/>
        <w:tab w:val="right" w:pos="8504"/>
      </w:tabs>
      <w:spacing w:before="0" w:after="0" w:line="240" w:lineRule="auto"/>
    </w:pPr>
  </w:style>
  <w:style w:type="paragraph" w:styleId="15">
    <w:name w:val="footer"/>
    <w:basedOn w:val="1"/>
    <w:link w:val="24"/>
    <w:unhideWhenUsed/>
    <w:uiPriority w:val="99"/>
    <w:pPr>
      <w:tabs>
        <w:tab w:val="center" w:pos="4252"/>
        <w:tab w:val="right" w:pos="8504"/>
      </w:tabs>
      <w:spacing w:before="0" w:after="0" w:line="240" w:lineRule="auto"/>
    </w:pPr>
  </w:style>
  <w:style w:type="paragraph" w:styleId="16">
    <w:name w:val="Subtitle"/>
    <w:basedOn w:val="1"/>
    <w:next w:val="1"/>
    <w:uiPriority w:val="0"/>
    <w:pPr>
      <w:keepNext/>
      <w:keepLines/>
      <w:spacing w:before="0" w:after="320"/>
    </w:pPr>
    <w:rPr>
      <w:color w:val="666666"/>
      <w:sz w:val="30"/>
      <w:szCs w:val="30"/>
    </w:rPr>
  </w:style>
  <w:style w:type="paragraph" w:styleId="17">
    <w:name w:val="Title"/>
    <w:basedOn w:val="1"/>
    <w:next w:val="1"/>
    <w:uiPriority w:val="0"/>
    <w:pPr>
      <w:keepNext/>
      <w:keepLines/>
      <w:spacing w:before="0" w:after="60"/>
    </w:pPr>
    <w:rPr>
      <w:sz w:val="52"/>
      <w:szCs w:val="52"/>
    </w:rPr>
  </w:style>
  <w:style w:type="table" w:customStyle="1" w:styleId="18">
    <w:name w:val="TableNormal"/>
    <w:uiPriority w:val="0"/>
    <w:tblPr>
      <w:tblCellMar>
        <w:top w:w="100" w:type="dxa"/>
        <w:left w:w="100" w:type="dxa"/>
        <w:bottom w:w="100" w:type="dxa"/>
        <w:right w:w="100" w:type="dxa"/>
      </w:tblCellMar>
    </w:tblPr>
  </w:style>
  <w:style w:type="table" w:customStyle="1" w:styleId="19">
    <w:name w:val="_Style 12"/>
    <w:basedOn w:val="18"/>
    <w:uiPriority w:val="0"/>
  </w:style>
  <w:style w:type="table" w:customStyle="1" w:styleId="20">
    <w:name w:val="_Style 13"/>
    <w:basedOn w:val="18"/>
    <w:uiPriority w:val="0"/>
  </w:style>
  <w:style w:type="character" w:customStyle="1" w:styleId="21">
    <w:name w:val="Texto comentario Car"/>
    <w:basedOn w:val="8"/>
    <w:link w:val="13"/>
    <w:semiHidden/>
    <w:uiPriority w:val="99"/>
    <w:rPr>
      <w:sz w:val="20"/>
      <w:szCs w:val="20"/>
    </w:rPr>
  </w:style>
  <w:style w:type="character" w:customStyle="1" w:styleId="22">
    <w:name w:val="Texto de globo Car"/>
    <w:basedOn w:val="8"/>
    <w:link w:val="12"/>
    <w:semiHidden/>
    <w:uiPriority w:val="99"/>
    <w:rPr>
      <w:rFonts w:ascii="Segoe UI" w:hAnsi="Segoe UI" w:cs="Segoe UI"/>
      <w:sz w:val="18"/>
      <w:szCs w:val="18"/>
    </w:rPr>
  </w:style>
  <w:style w:type="character" w:customStyle="1" w:styleId="23">
    <w:name w:val="Encabezado Car"/>
    <w:basedOn w:val="8"/>
    <w:link w:val="14"/>
    <w:uiPriority w:val="99"/>
  </w:style>
  <w:style w:type="character" w:customStyle="1" w:styleId="24">
    <w:name w:val="Pie de página Car"/>
    <w:basedOn w:val="8"/>
    <w:link w:val="15"/>
    <w:qFormat/>
    <w:uiPriority w:val="99"/>
  </w:style>
  <w:style w:type="table" w:customStyle="1" w:styleId="25">
    <w:name w:val="_Style 25"/>
    <w:basedOn w:val="18"/>
    <w:uiPriority w:val="0"/>
    <w:tblPr>
      <w:tblCellMar>
        <w:top w:w="100" w:type="dxa"/>
        <w:left w:w="100" w:type="dxa"/>
        <w:bottom w:w="100" w:type="dxa"/>
        <w:right w:w="100" w:type="dxa"/>
      </w:tblCellMar>
    </w:tblPr>
  </w:style>
  <w:style w:type="table" w:customStyle="1" w:styleId="26">
    <w:name w:val="_Style 26"/>
    <w:basedOn w:val="18"/>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GXkBCm66doP/3MTYBZe0d9/poA==">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</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93</Pages>
  <Words>7095</Words>
  <Characters>37522</Characters>
  <TotalTime>18</TotalTime>
  <ScaleCrop>false</ScaleCrop>
  <LinksUpToDate>false</LinksUpToDate>
  <CharactersWithSpaces>44557</CharactersWithSpaces>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2026-08-20T16:05:00Z</dcterms:created>
  <dc:creator>joaquin.garlo</dc:creator>
  <cp:lastModifiedBy>joaquin.garlo</cp:lastModifiedBy>
  <cp:lastPrinted>2026-08-21T11:40:57Z</cp:lastPrinted>
  <dcterms:modified xsi:type="dcterms:W3CDTF">2026-08-21T11:52:57Z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eyJoZGlkIjoiMjA0NmQ0ODA3ZjdiOGUxMDdkNjI5NjE4M2VlZjlkY2MifQ==</vt:lpwstr>
  </property>
  <property fmtid="{D5CDD505-2E9C-101B-9397-08002B2CF9AE}" pid="3" name="KSOProductBuildVer">
    <vt:lpwstr>2058-12.1.0.28032</vt:lpwstr>
  </property>
  <property fmtid="{D5CDD505-2E9C-101B-9397-08002B2CF9AE}" pid="4" name="ICV">
    <vt:lpwstr>7BADA8976F7841EC87A47B01A153303E_13</vt:lpwstr>
  </property>
</Properties>
</file>